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B190" w14:textId="77777777" w:rsidR="00F1680A" w:rsidRPr="00157B16" w:rsidRDefault="00F1680A" w:rsidP="00F1680A">
      <w:pPr>
        <w:pStyle w:val="walnut-Nadpis1"/>
      </w:pPr>
      <w:r w:rsidRPr="00157B16">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7595"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4745"/>
      </w:tblGrid>
      <w:tr w:rsidR="00C22F62" w:rsidRPr="00157B16" w14:paraId="76F4250D" w14:textId="77777777" w:rsidTr="008975D5">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4745" w:type="dxa"/>
            <w:shd w:val="clear" w:color="auto" w:fill="auto"/>
          </w:tcPr>
          <w:p w14:paraId="084FC2E3" w14:textId="7C78CF17" w:rsidR="00C22F62" w:rsidRPr="00157B16" w:rsidRDefault="00D57E72" w:rsidP="008B27DF">
            <w:pPr>
              <w:rPr>
                <w:rFonts w:ascii="Calibri" w:eastAsia="Lucida Sans Unicode" w:hAnsi="Calibri" w:cs="Calibri"/>
                <w:kern w:val="1"/>
                <w:sz w:val="22"/>
                <w:szCs w:val="22"/>
                <w:lang w:eastAsia="ar-SA"/>
              </w:rPr>
            </w:pPr>
            <w:r w:rsidRPr="00D57E72">
              <w:rPr>
                <w:rFonts w:asciiTheme="minorHAnsi" w:hAnsiTheme="minorHAnsi"/>
                <w:sz w:val="22"/>
                <w:szCs w:val="22"/>
              </w:rPr>
              <w:t>Městys Bílé Podolí</w:t>
            </w:r>
          </w:p>
        </w:tc>
      </w:tr>
      <w:tr w:rsidR="00C22F62" w:rsidRPr="00157B16" w14:paraId="34E52BC4" w14:textId="77777777" w:rsidTr="008975D5">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745" w:type="dxa"/>
            <w:shd w:val="clear" w:color="auto" w:fill="auto"/>
          </w:tcPr>
          <w:p w14:paraId="2E595A2D" w14:textId="29FD4C05" w:rsidR="00B671BD" w:rsidRPr="00EC551A" w:rsidRDefault="00D57E72" w:rsidP="00B671BD">
            <w:pPr>
              <w:rPr>
                <w:rFonts w:ascii="Calibri" w:eastAsia="Lucida Sans Unicode" w:hAnsi="Calibri" w:cs="Calibri"/>
                <w:kern w:val="1"/>
                <w:sz w:val="22"/>
                <w:szCs w:val="22"/>
                <w:lang w:eastAsia="ar-SA"/>
              </w:rPr>
            </w:pPr>
            <w:r w:rsidRPr="00D57E72">
              <w:rPr>
                <w:rFonts w:asciiTheme="minorHAnsi" w:hAnsiTheme="minorHAnsi"/>
                <w:sz w:val="22"/>
                <w:szCs w:val="22"/>
              </w:rPr>
              <w:t>Bílé Podolí 12, 285 72 Bílé Podolí</w:t>
            </w:r>
          </w:p>
        </w:tc>
      </w:tr>
      <w:tr w:rsidR="00C22F62" w:rsidRPr="00157B16" w14:paraId="2B25FC37" w14:textId="77777777" w:rsidTr="008975D5">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4745" w:type="dxa"/>
            <w:shd w:val="clear" w:color="auto" w:fill="auto"/>
          </w:tcPr>
          <w:p w14:paraId="0BC54CF5" w14:textId="2A136C1B" w:rsidR="00C22F62" w:rsidRPr="00157B16" w:rsidRDefault="00D57E72" w:rsidP="00B671BD">
            <w:pPr>
              <w:rPr>
                <w:rFonts w:ascii="Calibri" w:eastAsia="Lucida Sans Unicode" w:hAnsi="Calibri" w:cs="Calibri"/>
                <w:kern w:val="1"/>
                <w:sz w:val="22"/>
                <w:szCs w:val="22"/>
                <w:lang w:eastAsia="ar-SA"/>
              </w:rPr>
            </w:pPr>
            <w:r w:rsidRPr="000028E6">
              <w:rPr>
                <w:rFonts w:asciiTheme="minorHAnsi" w:hAnsiTheme="minorHAnsi"/>
                <w:sz w:val="22"/>
              </w:rPr>
              <w:t>00235997</w:t>
            </w:r>
          </w:p>
        </w:tc>
      </w:tr>
      <w:tr w:rsidR="009A7D02" w:rsidRPr="00157B16" w14:paraId="070158B7" w14:textId="77777777" w:rsidTr="008975D5">
        <w:tc>
          <w:tcPr>
            <w:tcW w:w="2850" w:type="dxa"/>
            <w:shd w:val="clear" w:color="auto" w:fill="auto"/>
          </w:tcPr>
          <w:p w14:paraId="550A69DA" w14:textId="59B50EE3" w:rsidR="009A7D02" w:rsidRPr="00157B16" w:rsidRDefault="009A7D02" w:rsidP="002327CD">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DIČ:</w:t>
            </w:r>
          </w:p>
        </w:tc>
        <w:tc>
          <w:tcPr>
            <w:tcW w:w="4745" w:type="dxa"/>
            <w:shd w:val="clear" w:color="auto" w:fill="auto"/>
          </w:tcPr>
          <w:p w14:paraId="0B8BA338" w14:textId="7C30C9BB" w:rsidR="009A7D02" w:rsidRPr="009E570D" w:rsidRDefault="00D57E72" w:rsidP="00B671BD">
            <w:pPr>
              <w:rPr>
                <w:rFonts w:asciiTheme="minorHAnsi" w:hAnsiTheme="minorHAnsi"/>
                <w:sz w:val="22"/>
              </w:rPr>
            </w:pPr>
            <w:r>
              <w:rPr>
                <w:rFonts w:asciiTheme="minorHAnsi" w:hAnsiTheme="minorHAnsi"/>
                <w:sz w:val="22"/>
              </w:rPr>
              <w:t>CZ</w:t>
            </w:r>
            <w:r w:rsidRPr="000028E6">
              <w:rPr>
                <w:rFonts w:asciiTheme="minorHAnsi" w:hAnsiTheme="minorHAnsi"/>
                <w:sz w:val="22"/>
              </w:rPr>
              <w:t>00235997</w:t>
            </w:r>
          </w:p>
        </w:tc>
      </w:tr>
      <w:tr w:rsidR="00C22F62" w:rsidRPr="00157B16" w14:paraId="3A858839" w14:textId="77777777" w:rsidTr="008975D5">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745" w:type="dxa"/>
            <w:shd w:val="clear" w:color="auto" w:fill="auto"/>
          </w:tcPr>
          <w:p w14:paraId="028EC76E" w14:textId="6C450E57" w:rsidR="00C22F62" w:rsidRPr="00157B16" w:rsidRDefault="00D57E72" w:rsidP="00E906ED">
            <w:pPr>
              <w:rPr>
                <w:rFonts w:ascii="Calibri" w:eastAsia="Lucida Sans Unicode" w:hAnsi="Calibri" w:cs="Calibri"/>
                <w:kern w:val="1"/>
                <w:sz w:val="22"/>
                <w:szCs w:val="22"/>
                <w:lang w:eastAsia="ar-SA"/>
              </w:rPr>
            </w:pPr>
            <w:r w:rsidRPr="00A760EA">
              <w:rPr>
                <w:rFonts w:ascii="Calibri" w:eastAsia="Lucida Sans Unicode" w:hAnsi="Calibri" w:cs="Calibri"/>
                <w:kern w:val="1"/>
                <w:sz w:val="22"/>
                <w:szCs w:val="22"/>
                <w:lang w:eastAsia="ar-SA"/>
              </w:rPr>
              <w:t>4126161/0100</w:t>
            </w:r>
          </w:p>
        </w:tc>
      </w:tr>
      <w:tr w:rsidR="00C22F62" w:rsidRPr="00157B16" w14:paraId="4F0C3D65" w14:textId="77777777" w:rsidTr="008975D5">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4745" w:type="dxa"/>
            <w:shd w:val="clear" w:color="auto" w:fill="auto"/>
          </w:tcPr>
          <w:p w14:paraId="203291B3" w14:textId="2B474F2D" w:rsidR="00C22F62" w:rsidRPr="00157B16" w:rsidRDefault="00D57E72" w:rsidP="001015CF">
            <w:pPr>
              <w:rPr>
                <w:rFonts w:ascii="Calibri" w:eastAsia="Lucida Sans Unicode" w:hAnsi="Calibri" w:cs="Calibri"/>
                <w:i/>
                <w:iCs/>
                <w:kern w:val="1"/>
                <w:sz w:val="22"/>
                <w:szCs w:val="22"/>
                <w:lang w:eastAsia="ar-SA"/>
              </w:rPr>
            </w:pPr>
            <w:r w:rsidRPr="000028E6">
              <w:rPr>
                <w:rFonts w:asciiTheme="minorHAnsi" w:hAnsiTheme="minorHAnsi" w:cs="Calibri"/>
                <w:sz w:val="22"/>
              </w:rPr>
              <w:t>Jiří Desenský, starosta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7604" w:type="dxa"/>
        <w:tblInd w:w="46" w:type="dxa"/>
        <w:tblLayout w:type="fixed"/>
        <w:tblCellMar>
          <w:top w:w="55" w:type="dxa"/>
          <w:left w:w="55" w:type="dxa"/>
          <w:bottom w:w="55" w:type="dxa"/>
          <w:right w:w="55" w:type="dxa"/>
        </w:tblCellMar>
        <w:tblLook w:val="0000" w:firstRow="0" w:lastRow="0" w:firstColumn="0" w:lastColumn="0" w:noHBand="0" w:noVBand="0"/>
      </w:tblPr>
      <w:tblGrid>
        <w:gridCol w:w="3210"/>
        <w:gridCol w:w="4394"/>
      </w:tblGrid>
      <w:tr w:rsidR="00C22F62" w:rsidRPr="00157B16" w14:paraId="18E2DF15" w14:textId="77777777" w:rsidTr="008975D5">
        <w:tc>
          <w:tcPr>
            <w:tcW w:w="3210"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439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8975D5">
        <w:tc>
          <w:tcPr>
            <w:tcW w:w="3210"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4394" w:type="dxa"/>
            <w:shd w:val="clear" w:color="auto" w:fill="auto"/>
          </w:tcPr>
          <w:p w14:paraId="376A5FD7" w14:textId="77777777" w:rsidR="00E5367E" w:rsidRPr="00157B16" w:rsidRDefault="008B27DF" w:rsidP="00E5367E">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r w:rsidR="00E5367E" w:rsidRPr="00157B16">
              <w:rPr>
                <w:rFonts w:ascii="Calibri" w:eastAsia="Lucida Sans Unicode" w:hAnsi="Calibri" w:cs="Calibri"/>
                <w:kern w:val="1"/>
                <w:sz w:val="22"/>
                <w:szCs w:val="22"/>
                <w:lang w:eastAsia="ar-SA"/>
              </w:rPr>
              <w:t>,</w:t>
            </w:r>
          </w:p>
          <w:p w14:paraId="06EB7DDF" w14:textId="77777777" w:rsidR="00C22F62" w:rsidRPr="00157B16" w:rsidRDefault="008B27DF" w:rsidP="008B27DF">
            <w:pPr>
              <w:rPr>
                <w:rFonts w:ascii="Calibri" w:eastAsia="Lucida Sans Unicode" w:hAnsi="Calibri" w:cs="Calibri"/>
                <w:kern w:val="1"/>
                <w:sz w:val="22"/>
                <w:szCs w:val="22"/>
                <w:lang w:eastAsia="ar-SA"/>
              </w:rPr>
            </w:pPr>
            <w:proofErr w:type="gramStart"/>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proofErr w:type="gramEnd"/>
          </w:p>
        </w:tc>
      </w:tr>
      <w:tr w:rsidR="00C22F62" w:rsidRPr="00157B16" w14:paraId="5D53289E" w14:textId="77777777" w:rsidTr="008975D5">
        <w:tc>
          <w:tcPr>
            <w:tcW w:w="3210"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439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8975D5">
        <w:tc>
          <w:tcPr>
            <w:tcW w:w="3210"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439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9A7D02">
        <w:tc>
          <w:tcPr>
            <w:tcW w:w="3210"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439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9A7D02">
        <w:tc>
          <w:tcPr>
            <w:tcW w:w="3210" w:type="dxa"/>
            <w:shd w:val="clear" w:color="auto" w:fill="auto"/>
          </w:tcPr>
          <w:p w14:paraId="6EB56770" w14:textId="404E2E7F" w:rsidR="008975D5"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Zastoupený</w:t>
            </w:r>
          </w:p>
          <w:p w14:paraId="2DC4B15A" w14:textId="09F748ED" w:rsidR="00C22F62"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smluvních</w:t>
            </w:r>
            <w:r w:rsidR="00C22F62" w:rsidRPr="00157B16">
              <w:rPr>
                <w:rFonts w:ascii="Calibri" w:eastAsia="Lucida Sans Unicode" w:hAnsi="Calibri" w:cs="Calibri"/>
                <w:kern w:val="1"/>
                <w:sz w:val="22"/>
                <w:szCs w:val="22"/>
                <w:lang w:eastAsia="ar-SA"/>
              </w:rPr>
              <w:t xml:space="preserve">: </w:t>
            </w:r>
          </w:p>
          <w:p w14:paraId="03F75A9D" w14:textId="0742CA43" w:rsidR="008975D5" w:rsidRPr="00157B16" w:rsidRDefault="008975D5" w:rsidP="00C604C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ve věcech technických:</w:t>
            </w:r>
          </w:p>
        </w:tc>
        <w:tc>
          <w:tcPr>
            <w:tcW w:w="4394" w:type="dxa"/>
            <w:shd w:val="clear" w:color="auto" w:fill="auto"/>
          </w:tcPr>
          <w:p w14:paraId="1E2B4016" w14:textId="77777777" w:rsidR="00C22F62"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proofErr w:type="spellStart"/>
            <w:r w:rsidRPr="00157B16">
              <w:rPr>
                <w:rFonts w:ascii="Calibri" w:eastAsia="Lucida Sans Unicode" w:hAnsi="Calibri" w:cs="Calibri"/>
                <w:kern w:val="1"/>
                <w:sz w:val="22"/>
                <w:szCs w:val="22"/>
                <w:highlight w:val="yellow"/>
                <w:lang w:eastAsia="ar-SA"/>
              </w:rPr>
              <w:t>VLOŽIT</w:t>
            </w:r>
            <w:proofErr w:type="spellEnd"/>
            <w:r w:rsidR="0071050F" w:rsidRPr="00157B16">
              <w:rPr>
                <w:rFonts w:ascii="Calibri" w:eastAsia="Lucida Sans Unicode" w:hAnsi="Calibri" w:cs="Calibri"/>
                <w:kern w:val="1"/>
                <w:sz w:val="22"/>
                <w:szCs w:val="22"/>
                <w:lang w:eastAsia="ar-SA"/>
              </w:rPr>
              <w: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p w14:paraId="25FA3A59" w14:textId="77777777" w:rsidR="008975D5"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p w14:paraId="435BE4B8" w14:textId="010888FB" w:rsidR="008975D5" w:rsidRPr="00157B16" w:rsidRDefault="008975D5"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77777777" w:rsidR="008F0187" w:rsidRPr="00157B16" w:rsidRDefault="008F0187" w:rsidP="005271E3">
      <w:pPr>
        <w:pStyle w:val="walnut-Odstavec1"/>
      </w:pPr>
      <w:r w:rsidRPr="00157B16">
        <w:t xml:space="preserve">Účel smlouvy </w:t>
      </w:r>
    </w:p>
    <w:p w14:paraId="384F5DA8" w14:textId="0E917C94" w:rsidR="00A86A4D" w:rsidRDefault="00A86A4D" w:rsidP="00D57E72">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D57E72" w:rsidRPr="00D57E72">
        <w:rPr>
          <w:b/>
          <w:lang w:eastAsia="ar-SA"/>
        </w:rPr>
        <w:t>Oprava pomníku Obětem 1. a 2. světové války</w:t>
      </w:r>
      <w:r w:rsidRPr="002B531A">
        <w:rPr>
          <w:b/>
          <w:lang w:eastAsia="ar-SA"/>
        </w:rPr>
        <w:t>“</w:t>
      </w:r>
      <w:r w:rsidRPr="002B531A">
        <w:rPr>
          <w:lang w:eastAsia="ar-SA"/>
        </w:rPr>
        <w:t>. Za</w:t>
      </w:r>
      <w:r>
        <w:rPr>
          <w:lang w:eastAsia="ar-SA"/>
        </w:rPr>
        <w:t xml:space="preserve"> účelem zajištění jeho realizace sjednává Objednatel na základě výsledku veřejné zakázky</w:t>
      </w:r>
      <w:r w:rsidRPr="008239CA">
        <w:rPr>
          <w:lang w:eastAsia="ar-SA"/>
        </w:rPr>
        <w:t xml:space="preserve"> s</w:t>
      </w:r>
      <w:r>
        <w:rPr>
          <w:lang w:eastAsia="ar-SA"/>
        </w:rPr>
        <w:t> </w:t>
      </w:r>
      <w:r w:rsidRPr="008239CA">
        <w:rPr>
          <w:lang w:eastAsia="ar-SA"/>
        </w:rPr>
        <w:t>názvem</w:t>
      </w:r>
      <w:r>
        <w:rPr>
          <w:lang w:eastAsia="ar-SA"/>
        </w:rPr>
        <w:t xml:space="preserve"> „</w:t>
      </w:r>
      <w:r w:rsidR="00D57E72" w:rsidRPr="00D57E72">
        <w:rPr>
          <w:lang w:eastAsia="ar-SA"/>
        </w:rPr>
        <w:t>Oprava pomníku Obětem 1. a 2. světové války</w:t>
      </w:r>
      <w:r w:rsidR="009A7D02">
        <w:rPr>
          <w:lang w:eastAsia="ar-SA"/>
        </w:rPr>
        <w:t xml:space="preserve">“ (zakázka malého rozsahu mimo režim </w:t>
      </w:r>
      <w:r w:rsidR="00613F00" w:rsidRPr="00275D82">
        <w:rPr>
          <w:lang w:eastAsia="ar-SA"/>
        </w:rPr>
        <w:t>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 tuto smlouvu.</w:t>
      </w:r>
    </w:p>
    <w:bookmarkEnd w:id="0"/>
    <w:p w14:paraId="1FD7F26C" w14:textId="5F9F8C47"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 na svůj náklad a nebezpečí a ve sjednané lhůtě pro objednatele.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7039F721" w14:textId="24E37879" w:rsidR="007B3F65" w:rsidRPr="00BE4E10" w:rsidRDefault="007B3F65" w:rsidP="00BE4E10">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11D1CED4" w14:textId="77777777" w:rsidR="007B3F65" w:rsidRPr="007B3F65" w:rsidRDefault="007B3F65" w:rsidP="007B3F65">
      <w:pPr>
        <w:pStyle w:val="walnut-Odstavec1"/>
      </w:pPr>
      <w:r w:rsidRPr="007B3F65">
        <w:t>Dílo</w:t>
      </w:r>
    </w:p>
    <w:p w14:paraId="2100EBA9" w14:textId="559FBC10" w:rsidR="002E37A5" w:rsidRDefault="002E37A5" w:rsidP="002E37A5">
      <w:pPr>
        <w:pStyle w:val="walnut-Odstavec2"/>
      </w:pPr>
      <w:r>
        <w:lastRenderedPageBreak/>
        <w:t xml:space="preserve">Předmětem této dokumentace je oprava Pomníku Obětem 1.a 2.světové války. Oprava zahrnuje i restaurátorskou činnost pomníku. Tato dokumentace </w:t>
      </w:r>
      <w:r w:rsidR="00681705">
        <w:t xml:space="preserve">dále </w:t>
      </w:r>
      <w:r>
        <w:t>řeší opravu kovaného plotu vybudování nové podezdívky. Demontáž zpevněné plochy položení nové dlažby z přírodního kamene.</w:t>
      </w:r>
    </w:p>
    <w:p w14:paraId="2A049CA5" w14:textId="08DE829A" w:rsidR="007B3F65" w:rsidRPr="007B3F65" w:rsidRDefault="004B024E" w:rsidP="00D57E72">
      <w:pPr>
        <w:pStyle w:val="walnut-Odstavec2"/>
        <w:rPr>
          <w:lang w:eastAsia="ar-SA"/>
        </w:rPr>
      </w:pPr>
      <w:r w:rsidRPr="004B024E">
        <w:rPr>
          <w:lang w:eastAsia="ar-SA"/>
        </w:rPr>
        <w:t>Rozsah předmě</w:t>
      </w:r>
      <w:r w:rsidR="00E22A93">
        <w:rPr>
          <w:lang w:eastAsia="ar-SA"/>
        </w:rPr>
        <w:t xml:space="preserve">tu stavby je </w:t>
      </w:r>
      <w:r w:rsidR="00D57E72">
        <w:rPr>
          <w:lang w:eastAsia="ar-SA"/>
        </w:rPr>
        <w:t xml:space="preserve">vymezen projektovou dokumentaci </w:t>
      </w:r>
      <w:r w:rsidR="00E22A93">
        <w:rPr>
          <w:lang w:eastAsia="ar-SA"/>
        </w:rPr>
        <w:t>předanou</w:t>
      </w:r>
      <w:r w:rsidRPr="004B024E">
        <w:rPr>
          <w:lang w:eastAsia="ar-SA"/>
        </w:rPr>
        <w:t xml:space="preserve"> Objednatelem Zhotoviteli. Projektová dokumentace je zhotovená</w:t>
      </w:r>
      <w:r w:rsidR="00970D43">
        <w:rPr>
          <w:lang w:eastAsia="ar-SA"/>
        </w:rPr>
        <w:t xml:space="preserve"> </w:t>
      </w:r>
      <w:r w:rsidR="00D57E72">
        <w:rPr>
          <w:lang w:eastAsia="ar-SA"/>
        </w:rPr>
        <w:t xml:space="preserve">paní </w:t>
      </w:r>
      <w:r w:rsidR="00D57E72" w:rsidRPr="00D57E72">
        <w:rPr>
          <w:lang w:eastAsia="ar-SA"/>
        </w:rPr>
        <w:t>Miloslavou Poštovou, B.</w:t>
      </w:r>
      <w:r w:rsidR="00D57E72">
        <w:rPr>
          <w:lang w:eastAsia="ar-SA"/>
        </w:rPr>
        <w:t xml:space="preserve"> </w:t>
      </w:r>
      <w:r w:rsidR="00D57E72" w:rsidRPr="00D57E72">
        <w:rPr>
          <w:lang w:eastAsia="ar-SA"/>
        </w:rPr>
        <w:t>Němcové 794, 286 01 Čáslav, ČKAIT obor pozemní stavby 0009995</w:t>
      </w:r>
      <w:r w:rsidR="00D57E72">
        <w:rPr>
          <w:lang w:eastAsia="ar-SA"/>
        </w:rPr>
        <w:t xml:space="preserve">. </w:t>
      </w:r>
    </w:p>
    <w:p w14:paraId="0DFA26FC" w14:textId="45C483E2" w:rsidR="007B3F65" w:rsidRPr="007B3F65" w:rsidRDefault="007B3F65" w:rsidP="007B3F65">
      <w:pPr>
        <w:pStyle w:val="walnut-Odstavec2"/>
        <w:rPr>
          <w:lang w:eastAsia="ar-SA"/>
        </w:rPr>
      </w:pPr>
      <w:r w:rsidRPr="007B3F65">
        <w:rPr>
          <w:lang w:eastAsia="ar-SA"/>
        </w:rPr>
        <w:tab/>
        <w:t>Dílem se rozumí také provedení dalších prací a činností souvisejících s plněním předmětu zakázky a nezbytných pro řádné dokončení díla, a to:</w:t>
      </w:r>
    </w:p>
    <w:p w14:paraId="50B63822" w14:textId="4AFBBCAE" w:rsidR="007B3F65" w:rsidRPr="007B3F65" w:rsidRDefault="007B3F65" w:rsidP="007B3F65">
      <w:pPr>
        <w:pStyle w:val="walnut-Odstavec4"/>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7B3F65">
      <w:pPr>
        <w:pStyle w:val="walnut-Odstavec4"/>
      </w:pPr>
      <w:r w:rsidRPr="007B3F65">
        <w:t>Vytýčení podzemních sítí a písemné předání dotčených sítí správcům těchto sítí.</w:t>
      </w:r>
    </w:p>
    <w:p w14:paraId="4C110764" w14:textId="3F65BBC7" w:rsidR="007B3F65" w:rsidRPr="007B3F65" w:rsidRDefault="007B3F65" w:rsidP="007B3F65">
      <w:pPr>
        <w:pStyle w:val="walnut-Odstavec4"/>
      </w:pPr>
      <w:r w:rsidRPr="007B3F65">
        <w:t xml:space="preserve">Zajištění prostoru stavby - staveniště, vybudování zařízení staveniště případně prostoru pro skládku materiálu a stavební techniky. </w:t>
      </w:r>
    </w:p>
    <w:p w14:paraId="445561EB" w14:textId="3CE1AA0B" w:rsidR="007B3F65" w:rsidRPr="007B3F65" w:rsidRDefault="007B3F65" w:rsidP="007B3F65">
      <w:pPr>
        <w:pStyle w:val="walnut-Odstavec4"/>
      </w:pPr>
      <w:r w:rsidRPr="007B3F65">
        <w:t>Koordinace při odvozu komunálního odpadu vč. přemístění nádob.</w:t>
      </w:r>
    </w:p>
    <w:p w14:paraId="1A9A3F01" w14:textId="38453F4A" w:rsidR="007B3F65" w:rsidRPr="007B3F65" w:rsidRDefault="007B3F65" w:rsidP="007B3F65">
      <w:pPr>
        <w:pStyle w:val="walnut-Odstavec4"/>
      </w:pPr>
      <w:r w:rsidRPr="007B3F65">
        <w:t>Zajištění bezpečnosti při provádění díla, včetně uživatelů komunikací.</w:t>
      </w:r>
    </w:p>
    <w:p w14:paraId="2A6FB98B" w14:textId="5399C4CF" w:rsidR="007B3F65" w:rsidRPr="007B3F65" w:rsidRDefault="007B3F65" w:rsidP="007B3F65">
      <w:pPr>
        <w:pStyle w:val="walnut-Odstavec4"/>
      </w:pPr>
      <w:r w:rsidRPr="007B3F65">
        <w:t xml:space="preserve">Zajištění čistoty na staveništi a v jeho okolí, včetně úklidu po stavebních pracích. </w:t>
      </w:r>
    </w:p>
    <w:p w14:paraId="1B2DDB78" w14:textId="4D202B9D" w:rsidR="007B3F65" w:rsidRPr="007B3F65" w:rsidRDefault="007B3F65" w:rsidP="007B3F65">
      <w:pPr>
        <w:pStyle w:val="walnut-Odstavec4"/>
      </w:pPr>
      <w:r w:rsidRPr="007B3F65">
        <w:t>Zajištění a předjednání ploch pro provizorní parkování stavební techniky během stavby.</w:t>
      </w:r>
    </w:p>
    <w:p w14:paraId="4949597E" w14:textId="66360DE2" w:rsidR="007B3F65" w:rsidRPr="007B3F65" w:rsidRDefault="007B3F65" w:rsidP="007B3F65">
      <w:pPr>
        <w:pStyle w:val="walnut-Odstavec4"/>
      </w:pPr>
      <w:r w:rsidRPr="007B3F65">
        <w:t>Zajištění a předání dokladů o likvidaci stavebního odpadu dle požadavků správního orgánu po ukončení stavby.</w:t>
      </w:r>
    </w:p>
    <w:p w14:paraId="1DFB1AE1" w14:textId="49B22D4D" w:rsidR="007B3F65" w:rsidRPr="007B3F65" w:rsidRDefault="007B3F65" w:rsidP="007B3F65">
      <w:pPr>
        <w:pStyle w:val="walnut-Odstavec4"/>
      </w:pPr>
      <w:r w:rsidRPr="007B3F65">
        <w:t xml:space="preserve">Fotodokumentace průběhu provádění díla; zhotovitel zajistí a předá objednateli průběžnou fotodokumentaci realizace díla na CD/DVD. </w:t>
      </w:r>
    </w:p>
    <w:p w14:paraId="4542F6FD" w14:textId="3248E2E7" w:rsidR="007B3F65" w:rsidRDefault="007B3F65" w:rsidP="007B3F65">
      <w:pPr>
        <w:pStyle w:val="walnut-Odstavec4"/>
      </w:pPr>
      <w:r w:rsidRPr="007B3F65">
        <w:t xml:space="preserve">Zhotovení dokumentace skutečného provedení </w:t>
      </w:r>
      <w:r w:rsidR="00015FBE">
        <w:t xml:space="preserve">stavby podle vyhlášky č. </w:t>
      </w:r>
      <w:r w:rsidR="00D53472">
        <w:t>499/2006 Sb.</w:t>
      </w:r>
    </w:p>
    <w:p w14:paraId="60C2C375" w14:textId="3006E475" w:rsidR="008975D5" w:rsidRPr="007B3F65" w:rsidRDefault="008975D5" w:rsidP="007B3F65">
      <w:pPr>
        <w:pStyle w:val="walnut-Odstavec4"/>
      </w:pPr>
      <w:r>
        <w:t>Součinnost s kolaudačním řízením.</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1CAED023" w:rsidR="007B3F65" w:rsidRPr="007B3F65" w:rsidRDefault="007B3F65" w:rsidP="007B3F65">
      <w:pPr>
        <w:pStyle w:val="walnut-Odstavec2"/>
        <w:rPr>
          <w:lang w:eastAsia="ar-SA"/>
        </w:rPr>
      </w:pPr>
      <w:r w:rsidRPr="007B3F65">
        <w:rPr>
          <w:lang w:eastAsia="ar-SA"/>
        </w:rPr>
        <w:t xml:space="preserve">Předání staveniště: nejpozději do </w:t>
      </w:r>
      <w:r w:rsidR="00246B76">
        <w:rPr>
          <w:lang w:eastAsia="ar-SA"/>
        </w:rPr>
        <w:t>10</w:t>
      </w:r>
      <w:r w:rsidRPr="007B3F65">
        <w:rPr>
          <w:lang w:eastAsia="ar-SA"/>
        </w:rPr>
        <w:t xml:space="preserve"> dnů od doručení výzvy ze strany objednatele</w:t>
      </w:r>
      <w:r w:rsidR="00DE57E9">
        <w:rPr>
          <w:lang w:eastAsia="ar-SA"/>
        </w:rPr>
        <w:t>.</w:t>
      </w:r>
    </w:p>
    <w:p w14:paraId="13B5B562" w14:textId="62D45B40"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246B76">
        <w:rPr>
          <w:lang w:eastAsia="ar-SA"/>
        </w:rPr>
        <w:t>10</w:t>
      </w:r>
      <w:r w:rsidR="007B3F65" w:rsidRPr="007B3F65">
        <w:rPr>
          <w:lang w:eastAsia="ar-SA"/>
        </w:rPr>
        <w:t xml:space="preserve"> dnů od předání a převzetí staveniště</w:t>
      </w:r>
      <w:r w:rsidR="00DE57E9">
        <w:rPr>
          <w:lang w:eastAsia="ar-SA"/>
        </w:rPr>
        <w:t>.</w:t>
      </w:r>
    </w:p>
    <w:p w14:paraId="3CFC2055" w14:textId="722DFF6B" w:rsidR="007B3F65" w:rsidRPr="007B3F65" w:rsidRDefault="007B3F65" w:rsidP="007B3F65">
      <w:pPr>
        <w:pStyle w:val="walnut-Odstavec2"/>
        <w:rPr>
          <w:lang w:eastAsia="ar-SA"/>
        </w:rPr>
      </w:pPr>
      <w:r w:rsidRPr="007B3F65">
        <w:rPr>
          <w:lang w:eastAsia="ar-SA"/>
        </w:rPr>
        <w:t xml:space="preserve">Ukončení prací: </w:t>
      </w:r>
      <w:r w:rsidRPr="007B3F65">
        <w:rPr>
          <w:lang w:eastAsia="ar-SA"/>
        </w:rPr>
        <w:tab/>
        <w:t xml:space="preserve">nejpozději </w:t>
      </w:r>
      <w:r w:rsidRPr="006F6929">
        <w:rPr>
          <w:lang w:eastAsia="ar-SA"/>
        </w:rPr>
        <w:t xml:space="preserve">do </w:t>
      </w:r>
      <w:r w:rsidR="006C6305">
        <w:rPr>
          <w:lang w:eastAsia="ar-SA"/>
        </w:rPr>
        <w:t xml:space="preserve">31. 9. 2021 </w:t>
      </w:r>
      <w:r w:rsidR="00E11FC0">
        <w:rPr>
          <w:lang w:eastAsia="ar-SA"/>
        </w:rPr>
        <w:t>od předání staveniště</w:t>
      </w:r>
      <w:r w:rsidR="009821CC">
        <w:rPr>
          <w:lang w:eastAsia="ar-SA"/>
        </w:rPr>
        <w:t xml:space="preserve">. </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575B1C2F"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ahu nabídky pro výběrové řízení</w:t>
      </w:r>
      <w:r w:rsidR="00DE57E9">
        <w:rPr>
          <w:lang w:eastAsia="ar-SA"/>
        </w:rPr>
        <w:t>.</w:t>
      </w:r>
      <w:r w:rsidRPr="007B3F65">
        <w:rPr>
          <w:lang w:eastAsia="ar-SA"/>
        </w:rPr>
        <w:t xml:space="preserve"> </w:t>
      </w:r>
    </w:p>
    <w:p w14:paraId="3BE052FB" w14:textId="65080E86" w:rsidR="007B3F65" w:rsidRPr="007B3F65" w:rsidRDefault="007B3F65" w:rsidP="007B3F65">
      <w:pPr>
        <w:pStyle w:val="walnut-Odstavec2"/>
        <w:rPr>
          <w:lang w:eastAsia="ar-SA"/>
        </w:rPr>
      </w:pPr>
      <w:r w:rsidRPr="007B3F65">
        <w:rPr>
          <w:lang w:eastAsia="ar-SA"/>
        </w:rPr>
        <w:t xml:space="preserve">Zhotovitel při zpracování cenové nabídky důsledně zkontroloval zadávací podmínky a ostatní podklady pro provádění díla, zejména prohlídku staveniště. Smluvní strany prohlašují a zaručují, že </w:t>
      </w:r>
      <w:r w:rsidR="00AF6546">
        <w:rPr>
          <w:lang w:eastAsia="ar-SA"/>
        </w:rPr>
        <w:t xml:space="preserve">je položkový rozpočet úplný. </w:t>
      </w:r>
      <w:r w:rsidRPr="007B3F65">
        <w:rPr>
          <w:lang w:eastAsia="ar-SA"/>
        </w:rPr>
        <w:t xml:space="preserve"> </w:t>
      </w:r>
    </w:p>
    <w:p w14:paraId="0C216FF2" w14:textId="6A67574A" w:rsidR="007B3F65" w:rsidRPr="007B3F65" w:rsidRDefault="007B3F65" w:rsidP="00FA4FE0">
      <w:pPr>
        <w:pStyle w:val="walnut-Odstavec2"/>
        <w:rPr>
          <w:lang w:eastAsia="ar-SA"/>
        </w:rPr>
      </w:pPr>
      <w:r w:rsidRPr="007B3F65">
        <w:rPr>
          <w:lang w:eastAsia="ar-SA"/>
        </w:rPr>
        <w:t>V případě nutného provedení dodatečných stavebních prací, které nebyly obsaženy v původních zadávacích podmínkách a které ale nejsou nezbytné pro provedení díla - tj. odlišné od prací nutných k provedení díla</w:t>
      </w:r>
      <w:r w:rsidR="00977981">
        <w:rPr>
          <w:lang w:eastAsia="ar-SA"/>
        </w:rPr>
        <w:t xml:space="preserve"> </w:t>
      </w:r>
      <w:r w:rsidRPr="007B3F65">
        <w:rPr>
          <w:lang w:eastAsia="ar-SA"/>
        </w:rPr>
        <w:t>(dále jen „vícepráce nebo jiné změny“), budou tyto předem písemně odsouhlaseny v knize víceprací, odpočtů a změn zástupcem objednatele (</w:t>
      </w:r>
      <w:r w:rsidR="002D17E8">
        <w:rPr>
          <w:lang w:eastAsia="ar-SA"/>
        </w:rPr>
        <w:t>TDS</w:t>
      </w:r>
      <w:r w:rsidRPr="007B3F65">
        <w:rPr>
          <w:lang w:eastAsia="ar-SA"/>
        </w:rPr>
        <w:t xml:space="preserve">) a to za podmínky, že bude současně předem doloženo ocenění víceprací nebo jiných změn. I v případě, že obě strany nebudou umět před realizací víceprací nebo jiných změn přesně ocenit navrženou změnu, je možné tyto činnosti realizovat, avšak opět pouze až po písemném odsouhlasení oběma stranami, které bude současně obsahovat způsob a maximální lhůtu na stanovení dohodnuté ceny. </w:t>
      </w:r>
    </w:p>
    <w:p w14:paraId="79D05D6B" w14:textId="45034E64" w:rsidR="007B3F65" w:rsidRDefault="007B3F65" w:rsidP="007B3F65">
      <w:pPr>
        <w:pStyle w:val="walnut-Odstavec2"/>
        <w:rPr>
          <w:lang w:eastAsia="ar-SA"/>
        </w:rPr>
      </w:pPr>
      <w:r w:rsidRPr="007B3F65">
        <w:rPr>
          <w:lang w:eastAsia="ar-SA"/>
        </w:rPr>
        <w:lastRenderedPageBreak/>
        <w:t>V případě, že bude objednatel vzhledem k průběhu provádění díla požadovat, aby některé práce předpokládané v Příloze č. 1 nebyly zhotovitelem provedeny, budou tyto odpočty předem písemně odsouhlaseny v knize víceprací, odpočtů a změn zástupcem objednatele (</w:t>
      </w:r>
      <w:r w:rsidR="002D17E8">
        <w:rPr>
          <w:lang w:eastAsia="ar-SA"/>
        </w:rPr>
        <w:t>TDS</w:t>
      </w:r>
      <w:r w:rsidRPr="007B3F65">
        <w:rPr>
          <w:lang w:eastAsia="ar-SA"/>
        </w:rPr>
        <w:t>) a to za podmínky, že bude současně předem dohodou smluvních stran určena cena odpočtů. Při ocenění odpočtů se vychází z kalkulace zhotovitele uvedené v</w:t>
      </w:r>
      <w:r w:rsidR="00D51F41">
        <w:rPr>
          <w:lang w:eastAsia="ar-SA"/>
        </w:rPr>
        <w:t> položkovém</w:t>
      </w:r>
      <w:r w:rsidRPr="007B3F65">
        <w:rPr>
          <w:lang w:eastAsia="ar-SA"/>
        </w:rPr>
        <w:t> rozpočtu – Příloha č.1. Cena za dílo se v tom případě sníží o výši ceny odpočtů.</w:t>
      </w:r>
    </w:p>
    <w:p w14:paraId="55D5AA4D" w14:textId="1960A0C2" w:rsidR="006F6929" w:rsidRPr="007B3F65" w:rsidRDefault="006F6929" w:rsidP="006F6929">
      <w:pPr>
        <w:pStyle w:val="walnut-Odstavec2"/>
        <w:rPr>
          <w:lang w:eastAsia="ar-SA"/>
        </w:rPr>
      </w:pPr>
      <w:r w:rsidRPr="006F6929">
        <w:rPr>
          <w:lang w:eastAsia="ar-SA"/>
        </w:rPr>
        <w:t xml:space="preserve">Kalkulace nákladů za provedení víceprací nebo jiných změn bude počítána na základě jednotkových cen uvedených v nabídce zhotovitele. Pokud zde tyto stavební práce, dodávky a služby tvořící vícepráce nebudou obsaženy, tak zhotovitel doplní jednotkové ceny podle ceníku stavebních prací, platného pro rok </w:t>
      </w:r>
      <w:r w:rsidR="00D57E72">
        <w:rPr>
          <w:lang w:eastAsia="ar-SA"/>
        </w:rPr>
        <w:t>2021</w:t>
      </w:r>
      <w:r w:rsidRPr="006F6929">
        <w:rPr>
          <w:lang w:eastAsia="ar-SA"/>
        </w:rPr>
        <w:t>, s tím, že cena za položku bude vynásobena podílem, který bude stanoven vydělením celkové nabídkové ceny dodavatele, celkovou rozpočtovanou cenou. Bude-li nabídková cena dodavatele vyšší, bude použita ceníková cena bez této modifikace.</w:t>
      </w:r>
    </w:p>
    <w:p w14:paraId="4226333E" w14:textId="77777777" w:rsidR="007B3F65" w:rsidRPr="007B3F65" w:rsidRDefault="007B3F65" w:rsidP="007B3F65">
      <w:pPr>
        <w:pStyle w:val="walnut-Odstavec1"/>
        <w:rPr>
          <w:lang w:eastAsia="ar-SA"/>
        </w:rPr>
      </w:pPr>
      <w:r w:rsidRPr="007B3F65">
        <w:rPr>
          <w:lang w:eastAsia="ar-SA"/>
        </w:rPr>
        <w:t>Platební podmínky</w:t>
      </w:r>
    </w:p>
    <w:p w14:paraId="081C5107" w14:textId="77777777" w:rsidR="006B3D49" w:rsidRDefault="006B3D49" w:rsidP="006B3D49">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415D308A" w14:textId="0EB09B81" w:rsidR="006B3D49" w:rsidRDefault="006B3D49" w:rsidP="006B3D49">
      <w:pPr>
        <w:pStyle w:val="walnut-Odstavec2"/>
        <w:rPr>
          <w:lang w:eastAsia="ar-SA"/>
        </w:rPr>
      </w:pPr>
      <w:r w:rsidRPr="005424DC">
        <w:rPr>
          <w:lang w:eastAsia="ar-SA"/>
        </w:rPr>
        <w:t xml:space="preserve">Objednatel bude zhotoviteli hradit provedené práce a dodávky podle skutečně provedeného objemu prací a dodávek. Dílčí daňové doklady budou zasílány objednateli měsíčně. Datem zdanitelného plnění je poslední den příslušného kalendářního měsíce. Zhotovitel se zavazuje, že nejpozději do 5. dne následujícího kalendářního měsíce zašle přehled prací provedených za uplynulý měsíc, a to elektronicky v jednotném formátu </w:t>
      </w:r>
      <w:proofErr w:type="spellStart"/>
      <w:r w:rsidR="00246B76">
        <w:rPr>
          <w:lang w:eastAsia="ar-SA"/>
        </w:rPr>
        <w:t>xls</w:t>
      </w:r>
      <w:proofErr w:type="spellEnd"/>
      <w:r w:rsidR="00246B76">
        <w:rPr>
          <w:lang w:eastAsia="ar-SA"/>
        </w:rPr>
        <w:t>.</w:t>
      </w:r>
      <w:r w:rsidR="00970D43" w:rsidRPr="005424DC">
        <w:rPr>
          <w:lang w:eastAsia="ar-SA"/>
        </w:rPr>
        <w:t xml:space="preserve"> (</w:t>
      </w:r>
      <w:r w:rsidR="00246B76">
        <w:rPr>
          <w:lang w:eastAsia="ar-SA"/>
        </w:rPr>
        <w:t>excel</w:t>
      </w:r>
      <w:r w:rsidR="00970D43" w:rsidRPr="005424DC">
        <w:rPr>
          <w:lang w:eastAsia="ar-SA"/>
        </w:rPr>
        <w:t>)</w:t>
      </w:r>
      <w:r w:rsidR="008975D5">
        <w:rPr>
          <w:lang w:eastAsia="ar-SA"/>
        </w:rPr>
        <w:t xml:space="preserve"> </w:t>
      </w:r>
      <w:r w:rsidRPr="005424DC">
        <w:rPr>
          <w:lang w:eastAsia="ar-SA"/>
        </w:rPr>
        <w:t xml:space="preserve">k odsouhlasení technickému dozoru </w:t>
      </w:r>
      <w:r w:rsidR="002D17E8">
        <w:rPr>
          <w:lang w:eastAsia="ar-SA"/>
        </w:rPr>
        <w:t>stavebníka</w:t>
      </w:r>
      <w:r w:rsidRPr="005424DC">
        <w:rPr>
          <w:lang w:eastAsia="ar-SA"/>
        </w:rPr>
        <w:t xml:space="preserve"> (dále jen „</w:t>
      </w:r>
      <w:r w:rsidR="002D17E8">
        <w:rPr>
          <w:lang w:eastAsia="ar-SA"/>
        </w:rPr>
        <w:t>TDS</w:t>
      </w:r>
      <w:r w:rsidRPr="005424DC">
        <w:rPr>
          <w:lang w:eastAsia="ar-SA"/>
        </w:rPr>
        <w:t xml:space="preserve">“) a objednateli. Po odsouhlasení tohoto dokladu se zhotovitel zavazuje vystavit daňový doklad a doručit jej objednateli. Každý daňový doklad musí obsahovat oceněný položkový rozpočet účtovaných prací. Při nesplnění jakékoliv z těchto podmínek </w:t>
      </w:r>
      <w:r>
        <w:rPr>
          <w:lang w:eastAsia="ar-SA"/>
        </w:rPr>
        <w:t>se považuje doklad za neplatný</w:t>
      </w:r>
      <w:r w:rsidRPr="005424DC">
        <w:rPr>
          <w:lang w:eastAsia="ar-SA"/>
        </w:rPr>
        <w:t>.</w:t>
      </w:r>
    </w:p>
    <w:p w14:paraId="2F1C0469" w14:textId="77777777" w:rsidR="006B3D49" w:rsidRPr="007B3F65" w:rsidRDefault="006B3D49" w:rsidP="006B3D49">
      <w:pPr>
        <w:pStyle w:val="walnut-Odstavec2"/>
        <w:rPr>
          <w:lang w:eastAsia="ar-SA"/>
        </w:rPr>
      </w:pPr>
      <w:r w:rsidRPr="007B3F65">
        <w:rPr>
          <w:lang w:eastAsia="ar-SA"/>
        </w:rPr>
        <w:t xml:space="preserve">Faktura zhotovitele bude obsahovat náležitosti daňového dokladu stanovené zákonem </w:t>
      </w:r>
      <w:r>
        <w:rPr>
          <w:lang w:eastAsia="ar-SA"/>
        </w:rPr>
        <w:t xml:space="preserve">o </w:t>
      </w:r>
      <w:r w:rsidRPr="007B3F65">
        <w:rPr>
          <w:lang w:eastAsia="ar-SA"/>
        </w:rPr>
        <w:t>dani z přidané hodnoty a zákonem</w:t>
      </w:r>
      <w:r>
        <w:rPr>
          <w:lang w:eastAsia="ar-SA"/>
        </w:rPr>
        <w:t xml:space="preserve"> </w:t>
      </w:r>
      <w:r w:rsidRPr="007B3F65">
        <w:rPr>
          <w:lang w:eastAsia="ar-SA"/>
        </w:rPr>
        <w:t>o účetnictví</w:t>
      </w:r>
      <w:r>
        <w:rPr>
          <w:lang w:eastAsia="ar-SA"/>
        </w:rPr>
        <w:t>.</w:t>
      </w:r>
      <w:r w:rsidRPr="007B3F65">
        <w:rPr>
          <w:lang w:eastAsia="ar-SA"/>
        </w:rPr>
        <w:t xml:space="preserve"> </w:t>
      </w:r>
    </w:p>
    <w:p w14:paraId="60E207A9" w14:textId="5763E7EE" w:rsidR="006B3D49" w:rsidRPr="007B3F65" w:rsidRDefault="006B3D49" w:rsidP="006B3D49">
      <w:pPr>
        <w:pStyle w:val="walnut-Odstavec2"/>
        <w:rPr>
          <w:lang w:eastAsia="ar-SA"/>
        </w:rPr>
      </w:pPr>
      <w:r w:rsidRPr="007B3F65">
        <w:rPr>
          <w:lang w:eastAsia="ar-SA"/>
        </w:rPr>
        <w:t xml:space="preserve">Pro splatnost faktur se sjednává lhůta </w:t>
      </w:r>
      <w:r w:rsidR="00A3262B">
        <w:rPr>
          <w:lang w:eastAsia="ar-SA"/>
        </w:rPr>
        <w:t>30</w:t>
      </w:r>
      <w:r w:rsidRPr="007B3F65">
        <w:rPr>
          <w:lang w:eastAsia="ar-SA"/>
        </w:rPr>
        <w:t xml:space="preserve"> dnů ode dne průkazného doručení faktury objednateli.</w:t>
      </w:r>
    </w:p>
    <w:p w14:paraId="5A4CBE3A" w14:textId="77777777" w:rsidR="006B3D49" w:rsidRPr="007B3F65" w:rsidRDefault="006B3D49" w:rsidP="006B3D49">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5EAB633F" w:rsidR="007B3F65" w:rsidRPr="007B3F65" w:rsidRDefault="007B3F65" w:rsidP="007B3F65">
      <w:pPr>
        <w:pStyle w:val="walnut-Odstavec2"/>
        <w:rPr>
          <w:lang w:eastAsia="ar-SA"/>
        </w:rPr>
      </w:pPr>
      <w:r w:rsidRPr="007B3F65">
        <w:rPr>
          <w:lang w:eastAsia="ar-SA"/>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p>
    <w:p w14:paraId="67F1B67E" w14:textId="700B49AA" w:rsidR="007B3F65" w:rsidRPr="007B3F65" w:rsidRDefault="007B3F65" w:rsidP="007B3F65">
      <w:pPr>
        <w:pStyle w:val="walnut-Odstavec2"/>
        <w:rPr>
          <w:lang w:eastAsia="ar-SA"/>
        </w:rPr>
      </w:pPr>
      <w:r w:rsidRPr="007B3F65">
        <w:rPr>
          <w:lang w:eastAsia="ar-SA"/>
        </w:rPr>
        <w:t>Dohodou vyjádřenou zápisem do stavebního deníku nelze měnit nebo doplňovat tuto smlouvu o dílo. Pokud to bude povaha dohody vyžadovat, musí být proveden písemný dodatek ke smlouvě. Zápisy ve stavebním deníku slouží jako podklad pro vypracování dodatku ke smlouvě o dílo.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7C160088" w:rsidR="007B3F65" w:rsidRPr="007B3F65" w:rsidRDefault="007B3F65" w:rsidP="007B3F65">
      <w:pPr>
        <w:pStyle w:val="walnut-Odstavec2"/>
        <w:rPr>
          <w:lang w:eastAsia="ar-SA"/>
        </w:rPr>
      </w:pPr>
      <w:r w:rsidRPr="007B3F65">
        <w:rPr>
          <w:lang w:eastAsia="ar-SA"/>
        </w:rPr>
        <w:t>Zástupce zhotovitele je povinen zúčastňovat se kontrolních dnů svolaných objednatelem, případně z podnětu státních nebo správních orgánů.</w:t>
      </w:r>
    </w:p>
    <w:p w14:paraId="0AAC32FF" w14:textId="731F5252" w:rsidR="007B3F65" w:rsidRPr="007B3F65" w:rsidRDefault="007B3F65" w:rsidP="007B3F65">
      <w:pPr>
        <w:pStyle w:val="walnut-Odstavec2"/>
        <w:rPr>
          <w:lang w:eastAsia="ar-SA"/>
        </w:rPr>
      </w:pPr>
      <w:r w:rsidRPr="007B3F65">
        <w:rPr>
          <w:lang w:eastAsia="ar-SA"/>
        </w:rPr>
        <w:t>Zhotovitel je povinen vyzvat objednatele, popř. osobu objednatelem určenou, k převzetí konstrukcí nebo prací, které budou zakryty další činností zhotovitele, a to zápisem do stavebního deníku a ústně v dostatečném předstihu, nejdéle však tři dny před jejich zakrytím. Pokud tak neprovede, půjde náklad na odkrytí a znovu zakrytí k tíži zhotovitele.</w:t>
      </w:r>
    </w:p>
    <w:p w14:paraId="0B2D1C82" w14:textId="13A609CE" w:rsidR="007B3F65" w:rsidRPr="007B3F65" w:rsidRDefault="007B3F65" w:rsidP="007B3F65">
      <w:pPr>
        <w:pStyle w:val="walnut-Odstavec2"/>
        <w:rPr>
          <w:lang w:eastAsia="ar-SA"/>
        </w:rPr>
      </w:pPr>
      <w:r w:rsidRPr="007B3F65">
        <w:rPr>
          <w:lang w:eastAsia="ar-SA"/>
        </w:rPr>
        <w:t xml:space="preserve">Zhotovitel bude při provádění díla udržovat čistotu a pořádek na stavbě. Zhotovitel se dále </w:t>
      </w:r>
      <w:r w:rsidRPr="007B3F65">
        <w:rPr>
          <w:lang w:eastAsia="ar-SA"/>
        </w:rPr>
        <w:lastRenderedPageBreak/>
        <w:t>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2B19640C" w:rsidR="007B3F65" w:rsidRP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2EC589D3" w:rsidR="007B3F65" w:rsidRPr="007B3F65" w:rsidRDefault="007B3F65" w:rsidP="007B3F65">
      <w:pPr>
        <w:pStyle w:val="walnut-Odstavec2"/>
        <w:rPr>
          <w:lang w:eastAsia="ar-SA"/>
        </w:rPr>
      </w:pPr>
      <w:r w:rsidRPr="007B3F65">
        <w:rPr>
          <w:lang w:eastAsia="ar-SA"/>
        </w:rPr>
        <w:t>Objednatel je povinen předat zhotoviteli staveniště před zahájením prací a upřesnit případně jeho rozsah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7F3AD414" w14:textId="52201BBB" w:rsid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07604E09" w14:textId="3E0D801D" w:rsidR="0089179D" w:rsidRPr="007B3F65" w:rsidRDefault="0089179D" w:rsidP="007B3F65">
      <w:pPr>
        <w:pStyle w:val="walnut-Odstavec2"/>
        <w:rPr>
          <w:lang w:eastAsia="ar-SA"/>
        </w:rPr>
      </w:pPr>
      <w:r>
        <w:rPr>
          <w:lang w:eastAsia="ar-SA"/>
        </w:rPr>
        <w:t>Zápisy z kontrolních dnů mají stejnou platnost jako stavební deník.</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F7545C3"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dodavatel 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7777777" w:rsidR="007B3F65" w:rsidRPr="007B3F65" w:rsidRDefault="007B3F65" w:rsidP="007B3F65">
      <w:pPr>
        <w:pStyle w:val="walnut-Odstavec2"/>
        <w:rPr>
          <w:lang w:eastAsia="ar-SA"/>
        </w:rPr>
      </w:pPr>
      <w:r w:rsidRPr="007B3F65">
        <w:rPr>
          <w:lang w:eastAsia="ar-SA"/>
        </w:rPr>
        <w:t>Zhotovitel dává objednateli za jakost díla záruku. Zhotovitel ručí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 Záruční doba na reklamovanou část díla se prodlužuje o dobu, která počíná datem uplatnění reklamace a končí dnem předání odstraněné vady zhotovitelem.</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1727FF6E" w:rsidR="007B3F65" w:rsidRPr="007B3F65" w:rsidRDefault="007B3F65" w:rsidP="007B3F65">
      <w:pPr>
        <w:pStyle w:val="walnut-Odstavec2"/>
        <w:rPr>
          <w:lang w:eastAsia="ar-SA"/>
        </w:rPr>
      </w:pPr>
      <w:r w:rsidRPr="007B3F65">
        <w:rPr>
          <w:lang w:eastAsia="ar-SA"/>
        </w:rPr>
        <w:t xml:space="preserve">V případě, že zhotovitel nedodrží termín provedení díla je povinen objednateli uhradit smluvní pokutu ve výši </w:t>
      </w:r>
      <w:r w:rsidR="0069337A">
        <w:rPr>
          <w:lang w:eastAsia="ar-SA"/>
        </w:rPr>
        <w:t>0,2 % z ceny díla</w:t>
      </w:r>
      <w:r w:rsidR="00E11FC0">
        <w:rPr>
          <w:lang w:eastAsia="ar-SA"/>
        </w:rPr>
        <w:t xml:space="preserve"> </w:t>
      </w:r>
      <w:r w:rsidRPr="007B3F65">
        <w:rPr>
          <w:lang w:eastAsia="ar-SA"/>
        </w:rPr>
        <w:t>za každý i započatý den prodlení. Smluvní strany podpisem smlouvy výslovně potvrzují, že výše smluvní pokuty není nepřiměřená.</w:t>
      </w:r>
    </w:p>
    <w:p w14:paraId="77416BE3" w14:textId="4773AAF5" w:rsidR="007B3F65" w:rsidRPr="007B3F65" w:rsidRDefault="007B3F65" w:rsidP="007B3F65">
      <w:pPr>
        <w:pStyle w:val="walnut-Odstavec2"/>
        <w:rPr>
          <w:lang w:eastAsia="ar-SA"/>
        </w:rPr>
      </w:pPr>
      <w:r w:rsidRPr="007B3F65">
        <w:rPr>
          <w:lang w:eastAsia="ar-SA"/>
        </w:rPr>
        <w:t>V případě, že zhotovitel nesplní povinnost danou odsouhlaseným zápisem ve stavebním deníku či odsouhlaseným zápisem z pracovní porady či kontrolního dne stavby, je povinen zhotovitel uhradit obje</w:t>
      </w:r>
      <w:r w:rsidR="00283300">
        <w:rPr>
          <w:lang w:eastAsia="ar-SA"/>
        </w:rPr>
        <w:t xml:space="preserve">dnateli smluvní pokutu ve výši </w:t>
      </w:r>
      <w:r w:rsidR="0069337A">
        <w:rPr>
          <w:lang w:eastAsia="ar-SA"/>
        </w:rPr>
        <w:t>0,2 % z ceny díla</w:t>
      </w:r>
      <w:r w:rsidRPr="007B3F65">
        <w:rPr>
          <w:lang w:eastAsia="ar-SA"/>
        </w:rPr>
        <w:t xml:space="preserve"> za každý případ a i započatý den prodlení. Objednatel tuto skutečnost oznámí prokazatelně zhotoviteli. Smluvní strany podpisem smlouvy výslovně potvrzují, že výše smluvní pokuty není nepřiměřená.</w:t>
      </w:r>
    </w:p>
    <w:p w14:paraId="23D4DB21" w14:textId="7D8CE627" w:rsidR="007B3F65" w:rsidRPr="007B3F65" w:rsidRDefault="007B3F65" w:rsidP="007B3F65">
      <w:pPr>
        <w:pStyle w:val="walnut-Odstavec2"/>
        <w:rPr>
          <w:lang w:eastAsia="ar-SA"/>
        </w:rPr>
      </w:pPr>
      <w:r w:rsidRPr="007B3F65">
        <w:rPr>
          <w:lang w:eastAsia="ar-SA"/>
        </w:rPr>
        <w:lastRenderedPageBreak/>
        <w:t xml:space="preserve">V případě, že zhotovitel neodstraní vady v termínech sjednaných v přejímacím protokolu, je povinen objednateli uhradit smluvní pokutu ve výši </w:t>
      </w:r>
      <w:r w:rsidR="00E11FC0">
        <w:rPr>
          <w:lang w:eastAsia="ar-SA"/>
        </w:rPr>
        <w:t>1.000,- Kč</w:t>
      </w:r>
      <w:r w:rsidRPr="007B3F65">
        <w:rPr>
          <w:lang w:eastAsia="ar-SA"/>
        </w:rPr>
        <w:t xml:space="preserve"> za každý případ a i započatý den prodlení. Smluvní strany podpisem smlouvy výslovně potvrzují, že výše smluvní pokuty není nepřiměřená.</w:t>
      </w:r>
    </w:p>
    <w:p w14:paraId="37E7379D" w14:textId="51A3E884"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 xml:space="preserve">adit smluvní pokutu ve výši </w:t>
      </w:r>
      <w:r w:rsidR="00FB7867">
        <w:rPr>
          <w:lang w:eastAsia="ar-SA"/>
        </w:rPr>
        <w:t xml:space="preserve">0,05 % z ceny díla za </w:t>
      </w:r>
      <w:r w:rsidRPr="007B3F65">
        <w:rPr>
          <w:lang w:eastAsia="ar-SA"/>
        </w:rPr>
        <w:t>každý i započatý den prodlení. Smluvní strany podpisem smlouvy výslovně potvrzují, že výše smluvní pokuty není nepřiměřená.</w:t>
      </w:r>
    </w:p>
    <w:p w14:paraId="3C4D4579" w14:textId="019DD0FA" w:rsidR="007B3F65" w:rsidRPr="007B3F65" w:rsidRDefault="007B3F65" w:rsidP="007B3F65">
      <w:pPr>
        <w:pStyle w:val="walnut-Odstavec2"/>
        <w:rPr>
          <w:lang w:eastAsia="ar-SA"/>
        </w:rPr>
      </w:pPr>
      <w:r w:rsidRPr="007B3F65">
        <w:rPr>
          <w:lang w:eastAsia="ar-SA"/>
        </w:rPr>
        <w:t xml:space="preserve">V případě, že zhotovitel neodstraní reklamované vady v dohodnutých termínech, je povinen objednateli uhradit smluvní pokutu ve výši </w:t>
      </w:r>
      <w:r w:rsidR="00E11FC0">
        <w:rPr>
          <w:lang w:eastAsia="ar-SA"/>
        </w:rPr>
        <w:t>1.000,- Kč</w:t>
      </w:r>
      <w:r w:rsidRPr="007B3F65">
        <w:rPr>
          <w:lang w:eastAsia="ar-SA"/>
        </w:rPr>
        <w:t xml:space="preserve"> za každou vadu a i započatý den prodlení. Smluvní strany podpisem smlouvy výslovně potvrzují, že výše smluvní pokuty není nepřiměřená.</w:t>
      </w:r>
    </w:p>
    <w:p w14:paraId="7B6EF8B6" w14:textId="60D03F49" w:rsidR="007B3F65" w:rsidRPr="007B3F65" w:rsidRDefault="007B3F65" w:rsidP="007B3F65">
      <w:pPr>
        <w:pStyle w:val="walnut-Odstavec2"/>
        <w:rPr>
          <w:lang w:eastAsia="ar-SA"/>
        </w:rPr>
      </w:pPr>
      <w:r w:rsidRPr="007B3F65">
        <w:rPr>
          <w:lang w:eastAsia="ar-SA"/>
        </w:rPr>
        <w:t>V případě prodlení objednatele s úhradou peněžitého závazku je objednatel povinen uhradit zhotov</w:t>
      </w:r>
      <w:r w:rsidR="00AF6546">
        <w:rPr>
          <w:lang w:eastAsia="ar-SA"/>
        </w:rPr>
        <w:t>iteli smluvní pokutu ve výši 0,02</w:t>
      </w:r>
      <w:r w:rsidRPr="007B3F65">
        <w:rPr>
          <w:lang w:eastAsia="ar-SA"/>
        </w:rPr>
        <w:t xml:space="preserve"> % z dlužné částky za každý i započatý den prodlení. Smluvní strany podpisem smlouvy výslovně potvrzují, že výše smluvní pokuty není nepřiměřená.</w:t>
      </w:r>
    </w:p>
    <w:p w14:paraId="6B486270" w14:textId="06EDCB52" w:rsid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5E0A546B" w14:textId="153B3D03" w:rsidR="00FB7867" w:rsidRPr="007B3F65" w:rsidRDefault="00FB7867" w:rsidP="007B3F65">
      <w:pPr>
        <w:pStyle w:val="walnut-Odstavec2"/>
        <w:rPr>
          <w:lang w:eastAsia="ar-SA"/>
        </w:rPr>
      </w:pPr>
      <w:r w:rsidRPr="00FB7867">
        <w:rPr>
          <w:lang w:eastAsia="ar-SA"/>
        </w:rPr>
        <w:t>Strany se dohodly, že smluvní pokutu je objednatel oprávněn započít</w:t>
      </w:r>
      <w:r>
        <w:rPr>
          <w:lang w:eastAsia="ar-SA"/>
        </w:rPr>
        <w:t>at proti pohledávce zhotovitele.</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6B9DB239" w:rsidR="007B3F65" w:rsidRPr="007B3F65" w:rsidRDefault="007B3F65" w:rsidP="007B3F65">
      <w:pPr>
        <w:pStyle w:val="walnut-Odstavec2"/>
        <w:rPr>
          <w:lang w:eastAsia="ar-SA"/>
        </w:rPr>
      </w:pPr>
      <w:r w:rsidRPr="007B3F65">
        <w:rPr>
          <w:lang w:eastAsia="ar-SA"/>
        </w:rPr>
        <w:t>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2B5F0F48" w14:textId="77777777" w:rsidR="00F63E0E" w:rsidRPr="000F7F0C" w:rsidRDefault="00F63E0E" w:rsidP="00F63E0E">
      <w:pPr>
        <w:pStyle w:val="walnut-Odstavec1"/>
        <w:rPr>
          <w:lang w:eastAsia="ar-SA" w:bidi="ar-SA"/>
        </w:rPr>
      </w:pPr>
      <w:r w:rsidRPr="000F7F0C">
        <w:rPr>
          <w:lang w:eastAsia="ar-SA" w:bidi="ar-SA"/>
        </w:rPr>
        <w:t>Odstoupení od smlouvy</w:t>
      </w:r>
    </w:p>
    <w:p w14:paraId="78DA192A" w14:textId="77777777" w:rsidR="00F63E0E" w:rsidRPr="000F7F0C" w:rsidRDefault="00F63E0E" w:rsidP="00F63E0E">
      <w:pPr>
        <w:pStyle w:val="walnut-Odstavec2"/>
        <w:rPr>
          <w:lang w:eastAsia="ar-SA" w:bidi="ar-SA"/>
        </w:rPr>
      </w:pPr>
      <w:r w:rsidRPr="000F7F0C">
        <w:rPr>
          <w:lang w:eastAsia="ar-SA" w:bidi="ar-SA"/>
        </w:rPr>
        <w:t>Důvody opravňující k odstoupení od smlouvy</w:t>
      </w:r>
    </w:p>
    <w:p w14:paraId="6204628E" w14:textId="77777777" w:rsidR="00F63E0E" w:rsidRDefault="00F63E0E" w:rsidP="00F63E0E">
      <w:pPr>
        <w:pStyle w:val="walnut-Odstavec3"/>
        <w:rPr>
          <w:lang w:eastAsia="ar-SA" w:bidi="ar-SA"/>
        </w:rPr>
      </w:pPr>
      <w:r w:rsidRPr="000F7F0C">
        <w:rPr>
          <w:lang w:eastAsia="ar-SA" w:bidi="ar-SA"/>
        </w:rPr>
        <w:t>Nastanou-li u některé ze stran skutečnosti bránící řádnému plnění této smlouvy je povinna to ihned bez zbytečného odkladu oznámit druhé straně a vyvolat jednání zástupců oprávněných k popisu smlouvy.</w:t>
      </w:r>
    </w:p>
    <w:p w14:paraId="31D8D80F" w14:textId="0C887DA6" w:rsidR="00A3262B" w:rsidRPr="000F7F0C" w:rsidRDefault="00A3262B" w:rsidP="00A3262B">
      <w:pPr>
        <w:pStyle w:val="walnut-Odstavec3"/>
        <w:rPr>
          <w:lang w:eastAsia="ar-SA" w:bidi="ar-SA"/>
        </w:rPr>
      </w:pPr>
      <w:r w:rsidRPr="00A3262B">
        <w:rPr>
          <w:lang w:eastAsia="ar-SA" w:bidi="ar-SA"/>
        </w:rPr>
        <w:t>Objednatel je od smlouvy oprávněn odstoupit i po rozhodnutí o úpadku zhotovitele.</w:t>
      </w:r>
    </w:p>
    <w:p w14:paraId="5D45DCFE" w14:textId="77777777" w:rsidR="00F63E0E" w:rsidRPr="000F7F0C" w:rsidRDefault="00F63E0E" w:rsidP="00F63E0E">
      <w:pPr>
        <w:pStyle w:val="walnut-Odstavec2"/>
        <w:rPr>
          <w:lang w:eastAsia="ar-SA" w:bidi="ar-SA"/>
        </w:rPr>
      </w:pPr>
      <w:r w:rsidRPr="000F7F0C">
        <w:rPr>
          <w:lang w:eastAsia="ar-SA" w:bidi="ar-SA"/>
        </w:rPr>
        <w:t>Způsob odstoupení od smlouvy</w:t>
      </w:r>
    </w:p>
    <w:p w14:paraId="5C3BDC55" w14:textId="77777777" w:rsidR="00F63E0E" w:rsidRPr="000F7F0C" w:rsidRDefault="00F63E0E" w:rsidP="00F63E0E">
      <w:pPr>
        <w:pStyle w:val="walnut-Odstavec3"/>
        <w:rPr>
          <w:lang w:eastAsia="ar-SA" w:bidi="ar-SA"/>
        </w:rPr>
      </w:pPr>
      <w:r w:rsidRPr="000F7F0C">
        <w:rPr>
          <w:lang w:eastAsia="ar-SA" w:bidi="ar-SA"/>
        </w:rPr>
        <w:t>Chce-li některá ze stran od smlouvy odstoupit na základě ujedná</w:t>
      </w:r>
      <w:r>
        <w:rPr>
          <w:lang w:eastAsia="ar-SA" w:bidi="ar-SA"/>
        </w:rPr>
        <w:t xml:space="preserve">ní ze smlouvy vyplývajících je </w:t>
      </w:r>
      <w:r w:rsidRPr="000F7F0C">
        <w:rPr>
          <w:lang w:eastAsia="ar-SA" w:bidi="ar-SA"/>
        </w:rPr>
        <w:t>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7F807D78" w14:textId="77777777" w:rsidR="00F63E0E" w:rsidRPr="000F7F0C" w:rsidRDefault="00F63E0E" w:rsidP="00F63E0E">
      <w:pPr>
        <w:pStyle w:val="walnut-Odstavec3"/>
        <w:rPr>
          <w:lang w:eastAsia="ar-SA" w:bidi="ar-SA"/>
        </w:rPr>
      </w:pPr>
      <w:r w:rsidRPr="000F7F0C">
        <w:rPr>
          <w:lang w:eastAsia="ar-SA" w:bidi="ar-SA"/>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7F5A6791" w14:textId="77777777" w:rsidR="00F63E0E" w:rsidRPr="000F7F0C" w:rsidRDefault="00F63E0E" w:rsidP="00F63E0E">
      <w:pPr>
        <w:pStyle w:val="walnut-Odstavec2"/>
        <w:rPr>
          <w:lang w:eastAsia="ar-SA" w:bidi="ar-SA"/>
        </w:rPr>
      </w:pPr>
      <w:r w:rsidRPr="000F7F0C">
        <w:rPr>
          <w:lang w:eastAsia="ar-SA" w:bidi="ar-SA"/>
        </w:rPr>
        <w:lastRenderedPageBreak/>
        <w:t>Den účinnosti odstoupení</w:t>
      </w:r>
    </w:p>
    <w:p w14:paraId="4A4412FF" w14:textId="77777777" w:rsidR="00F63E0E" w:rsidRPr="000F7F0C" w:rsidRDefault="00F63E0E" w:rsidP="00F63E0E">
      <w:pPr>
        <w:pStyle w:val="walnut-Odstavec3"/>
        <w:rPr>
          <w:lang w:eastAsia="ar-SA" w:bidi="ar-SA"/>
        </w:rPr>
      </w:pPr>
      <w:r w:rsidRPr="000F7F0C">
        <w:rPr>
          <w:lang w:eastAsia="ar-SA" w:bidi="ar-S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0999B14" w14:textId="77777777" w:rsidR="00F63E0E" w:rsidRPr="000F7F0C" w:rsidRDefault="00F63E0E" w:rsidP="00F63E0E">
      <w:pPr>
        <w:pStyle w:val="walnut-Odstavec2"/>
        <w:rPr>
          <w:lang w:eastAsia="ar-SA" w:bidi="ar-SA"/>
        </w:rPr>
      </w:pPr>
      <w:r w:rsidRPr="000F7F0C">
        <w:rPr>
          <w:lang w:eastAsia="ar-SA" w:bidi="ar-SA"/>
        </w:rPr>
        <w:t>Důsledky odstoupení od smlouvy</w:t>
      </w:r>
    </w:p>
    <w:p w14:paraId="0FDF0AF6" w14:textId="77777777" w:rsidR="00F63E0E" w:rsidRPr="000F7F0C" w:rsidRDefault="00F63E0E" w:rsidP="00F63E0E">
      <w:pPr>
        <w:pStyle w:val="walnut-Odstavec3"/>
        <w:rPr>
          <w:lang w:eastAsia="ar-SA" w:bidi="ar-SA"/>
        </w:rPr>
      </w:pPr>
      <w:r w:rsidRPr="000F7F0C">
        <w:rPr>
          <w:lang w:eastAsia="ar-SA" w:bidi="ar-SA"/>
        </w:rPr>
        <w:t>Odstoupí-li některá ze stran od této smlouvy na základě ujednání z této smlouvy vyplývajících, pak povinnosti obou stran jsou následující:</w:t>
      </w:r>
    </w:p>
    <w:p w14:paraId="7AB437C9" w14:textId="77777777" w:rsidR="00F63E0E" w:rsidRPr="000F7F0C" w:rsidRDefault="00F63E0E" w:rsidP="00F63E0E">
      <w:pPr>
        <w:pStyle w:val="walnut-Odstavec4"/>
        <w:rPr>
          <w:lang w:eastAsia="ar-SA" w:bidi="ar-SA"/>
        </w:rPr>
      </w:pPr>
      <w:r w:rsidRPr="000F7F0C">
        <w:rPr>
          <w:lang w:eastAsia="ar-SA" w:bidi="ar-SA"/>
        </w:rPr>
        <w:t>Zhotovitel provede soupis všech provedených prací, oceněný dle způsobu, kterým je stanovena cena díla</w:t>
      </w:r>
    </w:p>
    <w:p w14:paraId="6ECD119A" w14:textId="77777777" w:rsidR="00F63E0E" w:rsidRPr="000F7F0C" w:rsidRDefault="00F63E0E" w:rsidP="00F63E0E">
      <w:pPr>
        <w:pStyle w:val="walnut-Odstavec4"/>
        <w:rPr>
          <w:lang w:eastAsia="ar-SA" w:bidi="ar-SA"/>
        </w:rPr>
      </w:pPr>
      <w:r w:rsidRPr="000F7F0C">
        <w:rPr>
          <w:lang w:eastAsia="ar-SA" w:bidi="ar-SA"/>
        </w:rPr>
        <w:t>Zhotovitel provede finanční vyčíslení provedených prací, popřípadě poskytnutých záloh a zpracuje „dílčí konečnou fakturu“</w:t>
      </w:r>
    </w:p>
    <w:p w14:paraId="4C293D40" w14:textId="77777777" w:rsidR="00F63E0E" w:rsidRPr="000F7F0C" w:rsidRDefault="00F63E0E" w:rsidP="00F63E0E">
      <w:pPr>
        <w:pStyle w:val="walnut-Odstavec4"/>
        <w:rPr>
          <w:lang w:eastAsia="ar-SA" w:bidi="ar-SA"/>
        </w:rPr>
      </w:pPr>
      <w:r w:rsidRPr="000F7F0C">
        <w:rPr>
          <w:lang w:eastAsia="ar-SA" w:bidi="ar-SA"/>
        </w:rPr>
        <w:t>Zhotovitel odveze veškerý svůj nezabudovaný materiál, pokud se strany nedohodnou jinak</w:t>
      </w:r>
    </w:p>
    <w:p w14:paraId="651FA746" w14:textId="77777777" w:rsidR="00F63E0E" w:rsidRPr="000F7F0C" w:rsidRDefault="00F63E0E" w:rsidP="00F63E0E">
      <w:pPr>
        <w:pStyle w:val="walnut-Odstavec4"/>
        <w:rPr>
          <w:lang w:eastAsia="ar-SA" w:bidi="ar-SA"/>
        </w:rPr>
      </w:pPr>
      <w:r w:rsidRPr="000F7F0C">
        <w:rPr>
          <w:lang w:eastAsia="ar-SA" w:bidi="ar-SA"/>
        </w:rPr>
        <w:t>Zhotovitel vyzve objednatele k „dílčímu předání díla“ a objednatel je povinen do tří dnů od obdržení vyzvání zahájit „dílčí přejímací řízení“</w:t>
      </w:r>
    </w:p>
    <w:p w14:paraId="0A611F45" w14:textId="77777777" w:rsidR="00F63E0E" w:rsidRPr="000F7F0C" w:rsidRDefault="00F63E0E" w:rsidP="00F63E0E">
      <w:pPr>
        <w:pStyle w:val="walnut-Odstavec4"/>
        <w:rPr>
          <w:lang w:eastAsia="ar-SA" w:bidi="ar-SA"/>
        </w:rPr>
      </w:pPr>
      <w:r w:rsidRPr="000F7F0C">
        <w:rPr>
          <w:lang w:eastAsia="ar-SA" w:bidi="ar-SA"/>
        </w:rPr>
        <w:t>po dílčím předání provedených prací sjednají obě strany písemné zrušení smlouvy</w:t>
      </w:r>
    </w:p>
    <w:p w14:paraId="26BC92F9" w14:textId="45369A2E" w:rsidR="00F63E0E" w:rsidRPr="007B3F65" w:rsidRDefault="00F63E0E" w:rsidP="00F63E0E">
      <w:pPr>
        <w:pStyle w:val="walnut-Odstavec4"/>
        <w:rPr>
          <w:lang w:eastAsia="ar-SA" w:bidi="ar-SA"/>
        </w:rPr>
      </w:pPr>
      <w:r w:rsidRPr="000F7F0C">
        <w:rPr>
          <w:lang w:eastAsia="ar-SA" w:bidi="ar-SA"/>
        </w:rPr>
        <w:t>strana, která důvodné odstoupení od smlouvy zapříčinila je povinna uhradit druhé straně veškeré náklady jí vzniklé z důvodů odstoupení od smlouvy, ušlý zisk a navíc jednorázovou smluvní pokutu ve výši 1% z uzavřené ceny díla.</w:t>
      </w:r>
    </w:p>
    <w:p w14:paraId="7D340B2F" w14:textId="77777777" w:rsidR="00A91BFE" w:rsidRPr="008E761A" w:rsidRDefault="00A91BFE" w:rsidP="00A91BFE">
      <w:pPr>
        <w:pStyle w:val="walnut-Odstavec1"/>
        <w:numPr>
          <w:ilvl w:val="0"/>
          <w:numId w:val="9"/>
        </w:numPr>
        <w:rPr>
          <w:lang w:eastAsia="ar-SA"/>
        </w:rPr>
      </w:pPr>
      <w:r>
        <w:rPr>
          <w:lang w:eastAsia="ar-SA"/>
        </w:rPr>
        <w:tab/>
      </w:r>
      <w:r w:rsidRPr="008E761A">
        <w:rPr>
          <w:lang w:eastAsia="ar-SA"/>
        </w:rPr>
        <w:t>Podmínky plynoucí ze způsobu financování</w:t>
      </w:r>
    </w:p>
    <w:p w14:paraId="509E03D5" w14:textId="77777777" w:rsidR="00A91BFE" w:rsidRPr="000F7F0C" w:rsidRDefault="00A91BFE" w:rsidP="00A91BFE">
      <w:pPr>
        <w:pStyle w:val="walnut-Odstavec2"/>
        <w:numPr>
          <w:ilvl w:val="1"/>
          <w:numId w:val="12"/>
        </w:numPr>
        <w:rPr>
          <w:lang w:eastAsia="ar-SA"/>
        </w:rPr>
      </w:pPr>
      <w:r w:rsidRPr="000F7F0C">
        <w:rPr>
          <w:lang w:eastAsia="ar-SA"/>
        </w:rPr>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5905E2A9" w14:textId="77777777" w:rsidR="00A91BFE" w:rsidRPr="000F7F0C" w:rsidRDefault="00A91BFE" w:rsidP="00A91BFE">
      <w:pPr>
        <w:pStyle w:val="walnut-Odstavec2"/>
        <w:numPr>
          <w:ilvl w:val="1"/>
          <w:numId w:val="9"/>
        </w:numPr>
        <w:rPr>
          <w:lang w:eastAsia="ar-SA"/>
        </w:rPr>
      </w:pPr>
      <w:r>
        <w:rPr>
          <w:lang w:eastAsia="ar-SA"/>
        </w:rPr>
        <w:t>Z</w:t>
      </w:r>
      <w:r w:rsidRPr="000F7F0C">
        <w:rPr>
          <w:lang w:eastAsia="ar-SA"/>
        </w:rPr>
        <w:t>hotovitel se zavazuje označovat faktury názvem zakázky a registračními čísly projektů, spolufinancovaných fondem nebo orgánem, z nichž budou náklady propláceny a postupovat v souladu s pokyny zadavatele v této oblasti.</w:t>
      </w:r>
    </w:p>
    <w:p w14:paraId="5A7D7653" w14:textId="77777777" w:rsidR="007B3F65" w:rsidRPr="007B3F65" w:rsidRDefault="007B3F65" w:rsidP="007B3F65">
      <w:pPr>
        <w:pStyle w:val="walnut-Odstavec1"/>
        <w:rPr>
          <w:lang w:eastAsia="ar-SA"/>
        </w:rPr>
      </w:pPr>
      <w:r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t xml:space="preserve">Změny této smlouvy mohou být provedeny pouze písemnými dodatky ke smlouvě, oběma stranami odsouhlasenými a podepsanými. Změna smlouvy v jiné než písemné formě se vylučuje. </w:t>
      </w:r>
    </w:p>
    <w:p w14:paraId="6F0DFC72" w14:textId="69A91630"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zákonem č. 89/2012 Sb., občanský zákoník, v platném znění.</w:t>
      </w:r>
    </w:p>
    <w:p w14:paraId="069A964E" w14:textId="16C5174A" w:rsidR="007B3F65" w:rsidRPr="007B3F65" w:rsidRDefault="007B3F65" w:rsidP="007B3F65">
      <w:pPr>
        <w:pStyle w:val="walnut-Odstavec2"/>
        <w:rPr>
          <w:lang w:eastAsia="ar-SA"/>
        </w:rPr>
      </w:pPr>
      <w:r w:rsidRPr="007B3F65">
        <w:rPr>
          <w:lang w:eastAsia="ar-SA"/>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221B4248" w:rsidR="007B3F65" w:rsidRDefault="007B3F65" w:rsidP="007B3F65">
      <w:pPr>
        <w:pStyle w:val="walnut-Odstavec2"/>
        <w:rPr>
          <w:lang w:eastAsia="ar-SA"/>
        </w:rPr>
      </w:pPr>
      <w:r w:rsidRPr="007B3F65">
        <w:rPr>
          <w:lang w:eastAsia="ar-SA"/>
        </w:rPr>
        <w:t xml:space="preserve">Tato smlouva je vyhotovena ve </w:t>
      </w:r>
      <w:r>
        <w:rPr>
          <w:lang w:eastAsia="ar-SA"/>
        </w:rPr>
        <w:t>čtyřech</w:t>
      </w:r>
      <w:r w:rsidRPr="007B3F65">
        <w:rPr>
          <w:lang w:eastAsia="ar-SA"/>
        </w:rPr>
        <w:t xml:space="preserve"> stejnopisech, z nichž objednatel obdrží dva. Všechna vyhotovení mají stejnou platnost. </w:t>
      </w:r>
    </w:p>
    <w:p w14:paraId="46B9CA9A" w14:textId="0FFB1702" w:rsidR="007F6F36" w:rsidRPr="007B3F65" w:rsidRDefault="007F6F36" w:rsidP="007F6F36">
      <w:pPr>
        <w:pStyle w:val="walnut-Odstavec2"/>
        <w:rPr>
          <w:lang w:eastAsia="ar-SA" w:bidi="ar-SA"/>
        </w:rPr>
      </w:pPr>
      <w:r w:rsidRPr="000F7F0C">
        <w:rPr>
          <w:lang w:eastAsia="ar-SA" w:bidi="ar-SA"/>
        </w:rPr>
        <w:t xml:space="preserve">Tato </w:t>
      </w:r>
      <w:r>
        <w:rPr>
          <w:lang w:eastAsia="ar-SA" w:bidi="ar-SA"/>
        </w:rPr>
        <w:t>s</w:t>
      </w:r>
      <w:r w:rsidRPr="0089179D">
        <w:rPr>
          <w:lang w:eastAsia="ar-SA" w:bidi="ar-SA"/>
        </w:rPr>
        <w:t xml:space="preserve">mlouva nabývá účinnosti </w:t>
      </w:r>
      <w:r w:rsidR="00246B76">
        <w:rPr>
          <w:lang w:eastAsia="ar-SA" w:bidi="ar-SA"/>
        </w:rPr>
        <w:t xml:space="preserve">a je platná podpisem obou smluvních stran. </w:t>
      </w:r>
      <w:r w:rsidRPr="0089179D">
        <w:rPr>
          <w:lang w:eastAsia="ar-SA" w:bidi="ar-SA"/>
        </w:rPr>
        <w:t xml:space="preserve"> </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4D4C48A5" w:rsidR="00B70085" w:rsidRDefault="007B3F65" w:rsidP="008468A8">
      <w:pPr>
        <w:pStyle w:val="walnut-Odstavec2"/>
        <w:rPr>
          <w:lang w:eastAsia="ar-SA"/>
        </w:rPr>
      </w:pPr>
      <w:r w:rsidRPr="007B3F65">
        <w:rPr>
          <w:lang w:eastAsia="ar-SA"/>
        </w:rPr>
        <w:t xml:space="preserve">Příloha č. 1 </w:t>
      </w:r>
      <w:r w:rsidR="008468A8">
        <w:rPr>
          <w:lang w:eastAsia="ar-SA"/>
        </w:rPr>
        <w:t>S</w:t>
      </w:r>
      <w:r w:rsidR="008468A8" w:rsidRPr="008468A8">
        <w:rPr>
          <w:lang w:eastAsia="ar-SA"/>
        </w:rPr>
        <w:t>oupis stavebních prací, dodávek a služeb</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60DF3850" w:rsidR="00C22F62" w:rsidRPr="00157B16" w:rsidRDefault="00FD63BF" w:rsidP="00D57E72">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D57E72">
              <w:rPr>
                <w:rFonts w:ascii="Calibri" w:eastAsia="Lucida Sans Unicode" w:hAnsi="Calibri" w:cs="Calibri"/>
                <w:kern w:val="1"/>
                <w:sz w:val="22"/>
                <w:szCs w:val="22"/>
                <w:lang w:eastAsia="ar-SA"/>
              </w:rPr>
              <w:t>2021</w:t>
            </w:r>
          </w:p>
        </w:tc>
        <w:tc>
          <w:tcPr>
            <w:tcW w:w="5142" w:type="dxa"/>
            <w:shd w:val="clear" w:color="auto" w:fill="auto"/>
          </w:tcPr>
          <w:p w14:paraId="5407D584" w14:textId="4829735B" w:rsidR="00C22F62" w:rsidRPr="00157B16" w:rsidRDefault="00FD63BF" w:rsidP="00D57E72">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D57E72">
              <w:rPr>
                <w:rFonts w:ascii="Calibri" w:eastAsia="Lucida Sans Unicode" w:hAnsi="Calibri" w:cs="Calibri"/>
                <w:kern w:val="1"/>
                <w:sz w:val="22"/>
                <w:szCs w:val="22"/>
                <w:lang w:eastAsia="ar-SA"/>
              </w:rPr>
              <w:t>2021</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objednatel</w:t>
            </w:r>
          </w:p>
          <w:p w14:paraId="6EFE04FD" w14:textId="3C14ADAE" w:rsidR="00C22F62" w:rsidRPr="00157B16" w:rsidRDefault="00D57E72" w:rsidP="00FD63BF">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Jiří Desenský, starosta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01A1124D"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proofErr w:type="gramStart"/>
            <w:r w:rsidRPr="00157B16">
              <w:rPr>
                <w:rFonts w:ascii="Calibri" w:eastAsia="Lucida Sans Unicode" w:hAnsi="Calibri" w:cs="Calibri"/>
                <w:kern w:val="1"/>
                <w:sz w:val="22"/>
                <w:szCs w:val="22"/>
                <w:highlight w:val="yellow"/>
                <w:lang w:eastAsia="ar-SA"/>
              </w:rPr>
              <w:t>VLOŽIT</w:t>
            </w:r>
            <w:r w:rsidR="0035570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lang w:eastAsia="ar-SA"/>
              </w:rPr>
              <w:t>,</w:t>
            </w:r>
            <w:proofErr w:type="gramEnd"/>
            <w:r w:rsidR="0066033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highlight w:val="yellow"/>
                <w:lang w:eastAsia="ar-SA"/>
              </w:rPr>
              <w:t>VLOŽIT</w:t>
            </w:r>
          </w:p>
        </w:tc>
      </w:tr>
    </w:tbl>
    <w:p w14:paraId="106FE627" w14:textId="77777777" w:rsidR="00C22F62" w:rsidRPr="00157B16" w:rsidRDefault="00C22F62" w:rsidP="00572958">
      <w:pPr>
        <w:rPr>
          <w:rFonts w:eastAsia="Lucida Sans Unicode"/>
          <w:kern w:val="1"/>
          <w:lang w:eastAsia="ar-SA"/>
        </w:rPr>
      </w:pPr>
    </w:p>
    <w:p w14:paraId="2FDD2901" w14:textId="77777777" w:rsidR="00572958" w:rsidRPr="00157B16" w:rsidRDefault="00572958" w:rsidP="00572958">
      <w:pPr>
        <w:rPr>
          <w:rFonts w:eastAsia="Lucida Sans Unicode"/>
          <w:kern w:val="1"/>
          <w:lang w:eastAsia="ar-SA"/>
        </w:rPr>
      </w:pPr>
    </w:p>
    <w:p w14:paraId="527AE61A" w14:textId="77777777" w:rsidR="00572958" w:rsidRPr="00157B16" w:rsidRDefault="00572958" w:rsidP="00572958">
      <w:pPr>
        <w:rPr>
          <w:rFonts w:eastAsia="Lucida Sans Unicode"/>
          <w:kern w:val="1"/>
          <w:lang w:eastAsia="ar-SA"/>
        </w:rPr>
      </w:pPr>
    </w:p>
    <w:p w14:paraId="4FDA4C03" w14:textId="77777777" w:rsidR="00572958" w:rsidRPr="00157B16" w:rsidRDefault="00572958" w:rsidP="00572958">
      <w:pPr>
        <w:rPr>
          <w:rFonts w:eastAsia="Lucida Sans Unicode"/>
          <w:kern w:val="1"/>
          <w:lang w:eastAsia="ar-SA"/>
        </w:rPr>
      </w:pPr>
    </w:p>
    <w:sectPr w:rsidR="00572958" w:rsidRPr="00157B16">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7EA15" w14:textId="77777777" w:rsidR="008D79D0" w:rsidRDefault="008D79D0">
      <w:r>
        <w:separator/>
      </w:r>
    </w:p>
  </w:endnote>
  <w:endnote w:type="continuationSeparator" w:id="0">
    <w:p w14:paraId="2CFE2F71" w14:textId="77777777" w:rsidR="008D79D0" w:rsidRDefault="008D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MT Extra"/>
    <w:charset w:val="00"/>
    <w:family w:val="auto"/>
    <w:pitch w:val="variable"/>
    <w:sig w:usb0="800000AF" w:usb1="1001ECEA" w:usb2="00000000" w:usb3="00000000" w:csb0="00000001" w:csb1="00000000"/>
  </w:font>
  <w:font w:name="OpenSymbol, 'Arial Unicode MS'">
    <w:altName w:val="Times New Roman"/>
    <w:panose1 w:val="00000000000000000000"/>
    <w:charset w:val="00"/>
    <w:family w:val="roman"/>
    <w:notTrueType/>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sz w:val="22"/>
        <w:szCs w:val="22"/>
      </w:rPr>
      <w:id w:val="-1204472647"/>
      <w:docPartObj>
        <w:docPartGallery w:val="Page Numbers (Bottom of Page)"/>
        <w:docPartUnique/>
      </w:docPartObj>
    </w:sdtPr>
    <w:sdtEndPr/>
    <w:sdtContent>
      <w:p w14:paraId="1646E91C" w14:textId="2054FB5A" w:rsidR="00E3055B" w:rsidRPr="00977981" w:rsidRDefault="00E3055B">
        <w:pPr>
          <w:pStyle w:val="Zpat"/>
          <w:jc w:val="center"/>
          <w:rPr>
            <w:rFonts w:ascii="Calibri" w:hAnsi="Calibri"/>
            <w:sz w:val="22"/>
            <w:szCs w:val="22"/>
          </w:rPr>
        </w:pPr>
        <w:r w:rsidRPr="00977981">
          <w:rPr>
            <w:rFonts w:ascii="Calibri" w:hAnsi="Calibri"/>
            <w:sz w:val="22"/>
            <w:szCs w:val="22"/>
          </w:rPr>
          <w:fldChar w:fldCharType="begin"/>
        </w:r>
        <w:r w:rsidRPr="00977981">
          <w:rPr>
            <w:rFonts w:ascii="Calibri" w:hAnsi="Calibri"/>
            <w:sz w:val="22"/>
            <w:szCs w:val="22"/>
          </w:rPr>
          <w:instrText>PAGE   \* MERGEFORMAT</w:instrText>
        </w:r>
        <w:r w:rsidRPr="00977981">
          <w:rPr>
            <w:rFonts w:ascii="Calibri" w:hAnsi="Calibri"/>
            <w:sz w:val="22"/>
            <w:szCs w:val="22"/>
          </w:rPr>
          <w:fldChar w:fldCharType="separate"/>
        </w:r>
        <w:r w:rsidR="00C14BF4">
          <w:rPr>
            <w:rFonts w:ascii="Calibri" w:hAnsi="Calibri"/>
            <w:noProof/>
            <w:sz w:val="22"/>
            <w:szCs w:val="22"/>
          </w:rPr>
          <w:t>7</w:t>
        </w:r>
        <w:r w:rsidRPr="00977981">
          <w:rPr>
            <w:rFonts w:ascii="Calibri" w:hAnsi="Calibri"/>
            <w:sz w:val="22"/>
            <w:szCs w:val="22"/>
          </w:rPr>
          <w:fldChar w:fldCharType="end"/>
        </w:r>
      </w:p>
    </w:sdtContent>
  </w:sdt>
  <w:p w14:paraId="44A8F924" w14:textId="77777777" w:rsidR="00E3055B" w:rsidRDefault="00E3055B" w:rsidP="00977981">
    <w:pPr>
      <w:pStyle w:val="Standard"/>
      <w:widowControl/>
      <w:spacing w:after="200" w:line="27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37BE3" w14:textId="77777777" w:rsidR="008D79D0" w:rsidRDefault="008D79D0">
      <w:r>
        <w:rPr>
          <w:color w:val="000000"/>
        </w:rPr>
        <w:separator/>
      </w:r>
    </w:p>
  </w:footnote>
  <w:footnote w:type="continuationSeparator" w:id="0">
    <w:p w14:paraId="774706D5" w14:textId="77777777" w:rsidR="008D79D0" w:rsidRDefault="008D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B6DC1" w14:textId="5CCB97B4" w:rsidR="00E3055B" w:rsidRPr="004607CA" w:rsidRDefault="00E3055B" w:rsidP="002A3ACC">
    <w:pPr>
      <w:pStyle w:val="walnut-Nadpis1-textpod"/>
      <w:tabs>
        <w:tab w:val="left" w:pos="1120"/>
      </w:tabs>
      <w:jc w:val="left"/>
      <w:rPr>
        <w:kern w:val="0"/>
      </w:rPr>
    </w:pPr>
    <w:r>
      <w:rPr>
        <w:noProof/>
        <w:kern w:val="0"/>
        <w:lang w:eastAsia="cs-CZ" w:bidi="ar-SA"/>
      </w:rPr>
      <w:drawing>
        <wp:inline distT="0" distB="0" distL="0" distR="0" wp14:anchorId="1AEC9C2C" wp14:editId="0987B966">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22A93">
      <w:rPr>
        <w:kern w:val="0"/>
      </w:rPr>
      <w:tab/>
    </w:r>
    <w:r w:rsidR="002A3ACC">
      <w:rPr>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440384"/>
    <w:multiLevelType w:val="multilevel"/>
    <w:tmpl w:val="EBBE727A"/>
    <w:lvl w:ilvl="0">
      <w:start w:val="1"/>
      <w:numFmt w:val="decimal"/>
      <w:lvlText w:val="%1"/>
      <w:lvlJc w:val="left"/>
      <w:pPr>
        <w:ind w:left="567" w:hanging="567"/>
      </w:pPr>
      <w:rPr>
        <w:rFonts w:hint="default"/>
        <w:b/>
        <w:i w:val="0"/>
      </w:rPr>
    </w:lvl>
    <w:lvl w:ilvl="1">
      <w:start w:val="1"/>
      <w:numFmt w:val="decimal"/>
      <w:lvlText w:val="%1.%2"/>
      <w:lvlJc w:val="left"/>
      <w:pPr>
        <w:ind w:left="680" w:hanging="680"/>
      </w:pPr>
      <w:rPr>
        <w:rFonts w:hint="default"/>
        <w:b w:val="0"/>
        <w:i w:val="0"/>
      </w:rPr>
    </w:lvl>
    <w:lvl w:ilvl="2">
      <w:start w:val="1"/>
      <w:numFmt w:val="lowerLetter"/>
      <w:lvlText w:val="%3)"/>
      <w:lvlJc w:val="left"/>
      <w:pPr>
        <w:tabs>
          <w:tab w:val="num" w:pos="1191"/>
        </w:tabs>
        <w:ind w:left="1021" w:hanging="341"/>
      </w:pPr>
      <w:rPr>
        <w:rFonts w:cs="Arial" w:hint="default"/>
      </w:rPr>
    </w:lvl>
    <w:lvl w:ilvl="3">
      <w:numFmt w:val="bullet"/>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7"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7"/>
  </w:num>
  <w:num w:numId="7">
    <w:abstractNumId w:val="20"/>
  </w:num>
  <w:num w:numId="8">
    <w:abstractNumId w:val="30"/>
  </w:num>
  <w:num w:numId="9">
    <w:abstractNumId w:val="22"/>
  </w:num>
  <w:num w:numId="10">
    <w:abstractNumId w:val="5"/>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9"/>
  </w:num>
  <w:num w:numId="19">
    <w:abstractNumId w:val="28"/>
  </w:num>
  <w:num w:numId="20">
    <w:abstractNumId w:val="11"/>
  </w:num>
  <w:num w:numId="21">
    <w:abstractNumId w:val="15"/>
  </w:num>
  <w:num w:numId="22">
    <w:abstractNumId w:val="27"/>
  </w:num>
  <w:num w:numId="23">
    <w:abstractNumId w:val="16"/>
  </w:num>
  <w:num w:numId="24">
    <w:abstractNumId w:val="18"/>
  </w:num>
  <w:num w:numId="25">
    <w:abstractNumId w:val="4"/>
  </w:num>
  <w:num w:numId="26">
    <w:abstractNumId w:val="6"/>
  </w:num>
  <w:num w:numId="27">
    <w:abstractNumId w:val="12"/>
  </w:num>
  <w:num w:numId="28">
    <w:abstractNumId w:val="8"/>
  </w:num>
  <w:num w:numId="29">
    <w:abstractNumId w:val="14"/>
  </w:num>
  <w:num w:numId="30">
    <w:abstractNumId w:val="9"/>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num>
  <w:num w:numId="36">
    <w:abstractNumId w:val="26"/>
    <w:lvlOverride w:ilvl="0">
      <w:lvl w:ilvl="0">
        <w:start w:val="1"/>
        <w:numFmt w:val="decimal"/>
        <w:lvlText w:val="%1"/>
        <w:lvlJc w:val="left"/>
        <w:pPr>
          <w:ind w:left="567" w:hanging="567"/>
        </w:pPr>
        <w:rPr>
          <w:rFonts w:hint="default"/>
          <w:b/>
          <w:i w:val="0"/>
        </w:rPr>
      </w:lvl>
    </w:lvlOverride>
    <w:lvlOverride w:ilvl="1">
      <w:lvl w:ilvl="1">
        <w:start w:val="1"/>
        <w:numFmt w:val="decimal"/>
        <w:lvlText w:val="%1.%2"/>
        <w:lvlJc w:val="left"/>
        <w:pPr>
          <w:ind w:left="680" w:hanging="680"/>
        </w:pPr>
        <w:rPr>
          <w:rFonts w:hint="default"/>
          <w:b w:val="0"/>
          <w:i w:val="0"/>
        </w:rPr>
      </w:lvl>
    </w:lvlOverride>
    <w:lvlOverride w:ilvl="2">
      <w:lvl w:ilvl="2">
        <w:start w:val="1"/>
        <w:numFmt w:val="lowerLetter"/>
        <w:lvlText w:val="%3)"/>
        <w:lvlJc w:val="left"/>
        <w:pPr>
          <w:tabs>
            <w:tab w:val="num" w:pos="1191"/>
          </w:tabs>
          <w:ind w:left="1021" w:hanging="341"/>
        </w:pPr>
        <w:rPr>
          <w:rFonts w:cs="Arial" w:hint="default"/>
        </w:rPr>
      </w:lvl>
    </w:lvlOverride>
    <w:lvlOverride w:ilvl="3">
      <w:lvl w:ilvl="3">
        <w:numFmt w:val="bullet"/>
        <w:suff w:val="space"/>
        <w:lvlText w:val=""/>
        <w:lvlJc w:val="left"/>
        <w:pPr>
          <w:ind w:left="1134" w:hanging="170"/>
        </w:pPr>
        <w:rPr>
          <w:rFonts w:ascii="Symbol" w:hAnsi="Symbol" w:hint="default"/>
        </w:rPr>
      </w:lvl>
    </w:lvlOverride>
    <w:lvlOverride w:ilvl="4">
      <w:lvl w:ilvl="4">
        <w:start w:val="1"/>
        <w:numFmt w:val="none"/>
        <w:lvlText w:val=""/>
        <w:lvlJc w:val="left"/>
        <w:pPr>
          <w:ind w:left="1440" w:hanging="1080"/>
        </w:pPr>
        <w:rPr>
          <w:rFonts w:hint="default"/>
        </w:rPr>
      </w:lvl>
    </w:lvlOverride>
    <w:lvlOverride w:ilvl="5">
      <w:lvl w:ilvl="5">
        <w:start w:val="1"/>
        <w:numFmt w:val="none"/>
        <w:lvlText w:val=""/>
        <w:lvlJc w:val="left"/>
        <w:pPr>
          <w:ind w:left="1440" w:hanging="1080"/>
        </w:pPr>
        <w:rPr>
          <w:rFonts w:hint="default"/>
        </w:rPr>
      </w:lvl>
    </w:lvlOverride>
    <w:lvlOverride w:ilvl="6">
      <w:lvl w:ilvl="6">
        <w:start w:val="1"/>
        <w:numFmt w:val="none"/>
        <w:lvlText w:val=""/>
        <w:lvlJc w:val="left"/>
        <w:pPr>
          <w:ind w:left="1800" w:hanging="1440"/>
        </w:pPr>
        <w:rPr>
          <w:rFonts w:hint="default"/>
        </w:rPr>
      </w:lvl>
    </w:lvlOverride>
    <w:lvlOverride w:ilvl="7">
      <w:lvl w:ilvl="7">
        <w:start w:val="1"/>
        <w:numFmt w:val="none"/>
        <w:lvlText w:val=""/>
        <w:lvlJc w:val="left"/>
        <w:pPr>
          <w:ind w:left="1800" w:hanging="1440"/>
        </w:pPr>
        <w:rPr>
          <w:rFonts w:hint="default"/>
        </w:rPr>
      </w:lvl>
    </w:lvlOverride>
    <w:lvlOverride w:ilvl="8">
      <w:lvl w:ilvl="8">
        <w:start w:val="1"/>
        <w:numFmt w:val="none"/>
        <w:lvlText w:val=""/>
        <w:lvlJc w:val="left"/>
        <w:pPr>
          <w:ind w:left="2160" w:hanging="1800"/>
        </w:pPr>
        <w:rPr>
          <w:rFonts w:hint="default"/>
        </w:rPr>
      </w:lvl>
    </w:lvlOverride>
  </w:num>
  <w:num w:numId="37">
    <w:abstractNumId w:val="19"/>
    <w:lvlOverride w:ilvl="0">
      <w:startOverride w:val="1"/>
    </w:lvlOverride>
    <w:lvlOverride w:ilvl="1">
      <w:startOverride w:val="1"/>
    </w:lvlOverride>
    <w:lvlOverride w:ilvl="2">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51"/>
    <w:rsid w:val="0000508F"/>
    <w:rsid w:val="00006980"/>
    <w:rsid w:val="00010798"/>
    <w:rsid w:val="00010B1B"/>
    <w:rsid w:val="00015FBE"/>
    <w:rsid w:val="000174D3"/>
    <w:rsid w:val="00021F7A"/>
    <w:rsid w:val="000261E1"/>
    <w:rsid w:val="00026C04"/>
    <w:rsid w:val="00041131"/>
    <w:rsid w:val="000421F4"/>
    <w:rsid w:val="00042E62"/>
    <w:rsid w:val="00052C39"/>
    <w:rsid w:val="00054400"/>
    <w:rsid w:val="0005749F"/>
    <w:rsid w:val="000648DC"/>
    <w:rsid w:val="00065415"/>
    <w:rsid w:val="0007113E"/>
    <w:rsid w:val="000735ED"/>
    <w:rsid w:val="000737AF"/>
    <w:rsid w:val="0007570E"/>
    <w:rsid w:val="0008172D"/>
    <w:rsid w:val="00082CAF"/>
    <w:rsid w:val="00087825"/>
    <w:rsid w:val="00091611"/>
    <w:rsid w:val="00094742"/>
    <w:rsid w:val="00094BB2"/>
    <w:rsid w:val="00096E4E"/>
    <w:rsid w:val="000A3083"/>
    <w:rsid w:val="000A41F3"/>
    <w:rsid w:val="000A6981"/>
    <w:rsid w:val="000B2708"/>
    <w:rsid w:val="000B4C32"/>
    <w:rsid w:val="000C2948"/>
    <w:rsid w:val="000C476C"/>
    <w:rsid w:val="000C54E4"/>
    <w:rsid w:val="000C5D33"/>
    <w:rsid w:val="000D01C2"/>
    <w:rsid w:val="000D4DFD"/>
    <w:rsid w:val="000E2A00"/>
    <w:rsid w:val="000E726A"/>
    <w:rsid w:val="000F1542"/>
    <w:rsid w:val="000F28AD"/>
    <w:rsid w:val="000F5770"/>
    <w:rsid w:val="001015CF"/>
    <w:rsid w:val="00102BE2"/>
    <w:rsid w:val="00105A15"/>
    <w:rsid w:val="0010789B"/>
    <w:rsid w:val="001103EA"/>
    <w:rsid w:val="00110462"/>
    <w:rsid w:val="001145BD"/>
    <w:rsid w:val="001220E8"/>
    <w:rsid w:val="00123BE0"/>
    <w:rsid w:val="00124316"/>
    <w:rsid w:val="001300E4"/>
    <w:rsid w:val="00131C9F"/>
    <w:rsid w:val="00141F92"/>
    <w:rsid w:val="00145563"/>
    <w:rsid w:val="001467F5"/>
    <w:rsid w:val="0015247C"/>
    <w:rsid w:val="00152D3B"/>
    <w:rsid w:val="0015390B"/>
    <w:rsid w:val="00157B16"/>
    <w:rsid w:val="00160B39"/>
    <w:rsid w:val="0016778D"/>
    <w:rsid w:val="0017151D"/>
    <w:rsid w:val="001737DF"/>
    <w:rsid w:val="00177394"/>
    <w:rsid w:val="001774C8"/>
    <w:rsid w:val="0018648D"/>
    <w:rsid w:val="00187DC6"/>
    <w:rsid w:val="00192F10"/>
    <w:rsid w:val="001977A5"/>
    <w:rsid w:val="00197CE5"/>
    <w:rsid w:val="00197D75"/>
    <w:rsid w:val="001A1D15"/>
    <w:rsid w:val="001B4292"/>
    <w:rsid w:val="001B6266"/>
    <w:rsid w:val="001C3EE2"/>
    <w:rsid w:val="001C4A55"/>
    <w:rsid w:val="001C7218"/>
    <w:rsid w:val="001D52D2"/>
    <w:rsid w:val="001D5FDB"/>
    <w:rsid w:val="001E373A"/>
    <w:rsid w:val="001E5BD5"/>
    <w:rsid w:val="001F4B95"/>
    <w:rsid w:val="00201E8F"/>
    <w:rsid w:val="00204CB9"/>
    <w:rsid w:val="00206147"/>
    <w:rsid w:val="002070FF"/>
    <w:rsid w:val="0022066A"/>
    <w:rsid w:val="00225356"/>
    <w:rsid w:val="0022763A"/>
    <w:rsid w:val="002327CD"/>
    <w:rsid w:val="00235FA1"/>
    <w:rsid w:val="002365DA"/>
    <w:rsid w:val="00240452"/>
    <w:rsid w:val="002436B9"/>
    <w:rsid w:val="002463BA"/>
    <w:rsid w:val="00246B76"/>
    <w:rsid w:val="0025129D"/>
    <w:rsid w:val="00252950"/>
    <w:rsid w:val="002603B4"/>
    <w:rsid w:val="00261D19"/>
    <w:rsid w:val="00263EDC"/>
    <w:rsid w:val="00265AB5"/>
    <w:rsid w:val="00277568"/>
    <w:rsid w:val="00282AA6"/>
    <w:rsid w:val="00282BC1"/>
    <w:rsid w:val="00283300"/>
    <w:rsid w:val="0028348C"/>
    <w:rsid w:val="00283D02"/>
    <w:rsid w:val="00284E1A"/>
    <w:rsid w:val="0029581A"/>
    <w:rsid w:val="002A11FD"/>
    <w:rsid w:val="002A2F0E"/>
    <w:rsid w:val="002A3908"/>
    <w:rsid w:val="002A3ACC"/>
    <w:rsid w:val="002A5EC2"/>
    <w:rsid w:val="002A7804"/>
    <w:rsid w:val="002A7997"/>
    <w:rsid w:val="002B15C9"/>
    <w:rsid w:val="002B531A"/>
    <w:rsid w:val="002B54AE"/>
    <w:rsid w:val="002C06E4"/>
    <w:rsid w:val="002C2E38"/>
    <w:rsid w:val="002C42FA"/>
    <w:rsid w:val="002C4B10"/>
    <w:rsid w:val="002D162F"/>
    <w:rsid w:val="002D17E8"/>
    <w:rsid w:val="002D38EF"/>
    <w:rsid w:val="002D3CBB"/>
    <w:rsid w:val="002E37A5"/>
    <w:rsid w:val="002E5B68"/>
    <w:rsid w:val="002E6E4F"/>
    <w:rsid w:val="002F45BD"/>
    <w:rsid w:val="002F5596"/>
    <w:rsid w:val="002F5CCA"/>
    <w:rsid w:val="003008C8"/>
    <w:rsid w:val="003056DA"/>
    <w:rsid w:val="00312A85"/>
    <w:rsid w:val="00322D00"/>
    <w:rsid w:val="003236FB"/>
    <w:rsid w:val="00330DD8"/>
    <w:rsid w:val="00333D23"/>
    <w:rsid w:val="00350326"/>
    <w:rsid w:val="00355707"/>
    <w:rsid w:val="00355878"/>
    <w:rsid w:val="0035659C"/>
    <w:rsid w:val="00357225"/>
    <w:rsid w:val="00360249"/>
    <w:rsid w:val="00364982"/>
    <w:rsid w:val="00367992"/>
    <w:rsid w:val="00374A03"/>
    <w:rsid w:val="00375434"/>
    <w:rsid w:val="0037602E"/>
    <w:rsid w:val="00386088"/>
    <w:rsid w:val="003A099B"/>
    <w:rsid w:val="003B2482"/>
    <w:rsid w:val="003B2DE9"/>
    <w:rsid w:val="003B6C37"/>
    <w:rsid w:val="003C0A5C"/>
    <w:rsid w:val="003D4D20"/>
    <w:rsid w:val="003E0BB4"/>
    <w:rsid w:val="003E0CFD"/>
    <w:rsid w:val="003E1460"/>
    <w:rsid w:val="003E3E4E"/>
    <w:rsid w:val="003E53CD"/>
    <w:rsid w:val="003E6084"/>
    <w:rsid w:val="003F0186"/>
    <w:rsid w:val="003F0A3C"/>
    <w:rsid w:val="003F4FF7"/>
    <w:rsid w:val="003F5417"/>
    <w:rsid w:val="004012B2"/>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195"/>
    <w:rsid w:val="004607CA"/>
    <w:rsid w:val="00460E62"/>
    <w:rsid w:val="00465EA5"/>
    <w:rsid w:val="00471AC0"/>
    <w:rsid w:val="00483315"/>
    <w:rsid w:val="00490C5E"/>
    <w:rsid w:val="00490FA9"/>
    <w:rsid w:val="00494D57"/>
    <w:rsid w:val="00497452"/>
    <w:rsid w:val="004A0888"/>
    <w:rsid w:val="004A58DB"/>
    <w:rsid w:val="004B024E"/>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B74"/>
    <w:rsid w:val="00544EB2"/>
    <w:rsid w:val="00546620"/>
    <w:rsid w:val="00554186"/>
    <w:rsid w:val="005543CC"/>
    <w:rsid w:val="005660EA"/>
    <w:rsid w:val="00572958"/>
    <w:rsid w:val="00573A37"/>
    <w:rsid w:val="00576CCB"/>
    <w:rsid w:val="005929AA"/>
    <w:rsid w:val="00594AA5"/>
    <w:rsid w:val="005B712B"/>
    <w:rsid w:val="005B7ACF"/>
    <w:rsid w:val="005C4E39"/>
    <w:rsid w:val="005D0D62"/>
    <w:rsid w:val="005D262B"/>
    <w:rsid w:val="005D2822"/>
    <w:rsid w:val="005E0143"/>
    <w:rsid w:val="005E5DC7"/>
    <w:rsid w:val="005E6AEC"/>
    <w:rsid w:val="005F1359"/>
    <w:rsid w:val="005F4A5A"/>
    <w:rsid w:val="006063CB"/>
    <w:rsid w:val="006125ED"/>
    <w:rsid w:val="00613D86"/>
    <w:rsid w:val="00613F00"/>
    <w:rsid w:val="0061784F"/>
    <w:rsid w:val="006207CF"/>
    <w:rsid w:val="00622447"/>
    <w:rsid w:val="0062371A"/>
    <w:rsid w:val="00635133"/>
    <w:rsid w:val="0063713F"/>
    <w:rsid w:val="00637D46"/>
    <w:rsid w:val="00647429"/>
    <w:rsid w:val="00654E32"/>
    <w:rsid w:val="00657FF8"/>
    <w:rsid w:val="00660337"/>
    <w:rsid w:val="00661018"/>
    <w:rsid w:val="00664DE9"/>
    <w:rsid w:val="00665DC2"/>
    <w:rsid w:val="0067213C"/>
    <w:rsid w:val="00672A47"/>
    <w:rsid w:val="00677F23"/>
    <w:rsid w:val="00681705"/>
    <w:rsid w:val="00687BAB"/>
    <w:rsid w:val="0069337A"/>
    <w:rsid w:val="00693AE6"/>
    <w:rsid w:val="00696904"/>
    <w:rsid w:val="00696F46"/>
    <w:rsid w:val="00697C8C"/>
    <w:rsid w:val="006A26A1"/>
    <w:rsid w:val="006A3304"/>
    <w:rsid w:val="006A4BF1"/>
    <w:rsid w:val="006B171E"/>
    <w:rsid w:val="006B192D"/>
    <w:rsid w:val="006B2DD1"/>
    <w:rsid w:val="006B3D49"/>
    <w:rsid w:val="006B41E0"/>
    <w:rsid w:val="006C6305"/>
    <w:rsid w:val="006D076E"/>
    <w:rsid w:val="006D61D3"/>
    <w:rsid w:val="006D6EFD"/>
    <w:rsid w:val="006F5AF1"/>
    <w:rsid w:val="006F6929"/>
    <w:rsid w:val="006F7B3C"/>
    <w:rsid w:val="00700C17"/>
    <w:rsid w:val="00702C3E"/>
    <w:rsid w:val="00705504"/>
    <w:rsid w:val="0071050F"/>
    <w:rsid w:val="00712679"/>
    <w:rsid w:val="007147AB"/>
    <w:rsid w:val="00720CCB"/>
    <w:rsid w:val="007234C3"/>
    <w:rsid w:val="007259B6"/>
    <w:rsid w:val="0073782E"/>
    <w:rsid w:val="007478A0"/>
    <w:rsid w:val="0076173C"/>
    <w:rsid w:val="00764161"/>
    <w:rsid w:val="00766536"/>
    <w:rsid w:val="00770201"/>
    <w:rsid w:val="00777E85"/>
    <w:rsid w:val="00781157"/>
    <w:rsid w:val="00784382"/>
    <w:rsid w:val="0078494E"/>
    <w:rsid w:val="007A12B8"/>
    <w:rsid w:val="007A4713"/>
    <w:rsid w:val="007A4F13"/>
    <w:rsid w:val="007B207A"/>
    <w:rsid w:val="007B3F65"/>
    <w:rsid w:val="007B5D8D"/>
    <w:rsid w:val="007C5C12"/>
    <w:rsid w:val="007D279F"/>
    <w:rsid w:val="007E243D"/>
    <w:rsid w:val="007F1DD8"/>
    <w:rsid w:val="007F2B13"/>
    <w:rsid w:val="007F46E8"/>
    <w:rsid w:val="007F6F36"/>
    <w:rsid w:val="00801173"/>
    <w:rsid w:val="00802D4B"/>
    <w:rsid w:val="00803052"/>
    <w:rsid w:val="00806E3B"/>
    <w:rsid w:val="00807209"/>
    <w:rsid w:val="00813902"/>
    <w:rsid w:val="008150C6"/>
    <w:rsid w:val="008168BA"/>
    <w:rsid w:val="00825A4F"/>
    <w:rsid w:val="00826F20"/>
    <w:rsid w:val="00830F3A"/>
    <w:rsid w:val="0083332C"/>
    <w:rsid w:val="00837687"/>
    <w:rsid w:val="0084037E"/>
    <w:rsid w:val="00840458"/>
    <w:rsid w:val="00840512"/>
    <w:rsid w:val="00840BC4"/>
    <w:rsid w:val="00840BCF"/>
    <w:rsid w:val="00840C7A"/>
    <w:rsid w:val="00841794"/>
    <w:rsid w:val="008468A8"/>
    <w:rsid w:val="008505A4"/>
    <w:rsid w:val="00856C57"/>
    <w:rsid w:val="00861EF2"/>
    <w:rsid w:val="00873D4D"/>
    <w:rsid w:val="008753DE"/>
    <w:rsid w:val="00885085"/>
    <w:rsid w:val="00885790"/>
    <w:rsid w:val="0089035D"/>
    <w:rsid w:val="0089179D"/>
    <w:rsid w:val="008975D5"/>
    <w:rsid w:val="008A0F22"/>
    <w:rsid w:val="008A1779"/>
    <w:rsid w:val="008A5D65"/>
    <w:rsid w:val="008A7956"/>
    <w:rsid w:val="008B27DF"/>
    <w:rsid w:val="008B3B3F"/>
    <w:rsid w:val="008B6086"/>
    <w:rsid w:val="008C7DA1"/>
    <w:rsid w:val="008D37CA"/>
    <w:rsid w:val="008D3F9A"/>
    <w:rsid w:val="008D4DDC"/>
    <w:rsid w:val="008D6591"/>
    <w:rsid w:val="008D79D0"/>
    <w:rsid w:val="008E51C9"/>
    <w:rsid w:val="008E6B96"/>
    <w:rsid w:val="008F0187"/>
    <w:rsid w:val="00905B8E"/>
    <w:rsid w:val="0090793F"/>
    <w:rsid w:val="009100C4"/>
    <w:rsid w:val="00922594"/>
    <w:rsid w:val="00923EE4"/>
    <w:rsid w:val="00924B39"/>
    <w:rsid w:val="0094002A"/>
    <w:rsid w:val="0094629F"/>
    <w:rsid w:val="00957D5E"/>
    <w:rsid w:val="009648C5"/>
    <w:rsid w:val="00970D43"/>
    <w:rsid w:val="00971B46"/>
    <w:rsid w:val="00977779"/>
    <w:rsid w:val="00977981"/>
    <w:rsid w:val="00980D8F"/>
    <w:rsid w:val="009821CC"/>
    <w:rsid w:val="00987312"/>
    <w:rsid w:val="009915C7"/>
    <w:rsid w:val="009A13C4"/>
    <w:rsid w:val="009A1941"/>
    <w:rsid w:val="009A7A14"/>
    <w:rsid w:val="009A7D02"/>
    <w:rsid w:val="009B2E18"/>
    <w:rsid w:val="009C1CC5"/>
    <w:rsid w:val="009C5A58"/>
    <w:rsid w:val="009D183D"/>
    <w:rsid w:val="009E0230"/>
    <w:rsid w:val="009E24BF"/>
    <w:rsid w:val="009F7DCC"/>
    <w:rsid w:val="00A05564"/>
    <w:rsid w:val="00A05DC2"/>
    <w:rsid w:val="00A07630"/>
    <w:rsid w:val="00A07CCC"/>
    <w:rsid w:val="00A13610"/>
    <w:rsid w:val="00A15475"/>
    <w:rsid w:val="00A16DEB"/>
    <w:rsid w:val="00A21993"/>
    <w:rsid w:val="00A268DE"/>
    <w:rsid w:val="00A32172"/>
    <w:rsid w:val="00A3262B"/>
    <w:rsid w:val="00A339A5"/>
    <w:rsid w:val="00A34461"/>
    <w:rsid w:val="00A42E0F"/>
    <w:rsid w:val="00A45483"/>
    <w:rsid w:val="00A46A86"/>
    <w:rsid w:val="00A47685"/>
    <w:rsid w:val="00A54C32"/>
    <w:rsid w:val="00A613CE"/>
    <w:rsid w:val="00A667AF"/>
    <w:rsid w:val="00A67882"/>
    <w:rsid w:val="00A72E59"/>
    <w:rsid w:val="00A7729D"/>
    <w:rsid w:val="00A809E7"/>
    <w:rsid w:val="00A80CD4"/>
    <w:rsid w:val="00A8131B"/>
    <w:rsid w:val="00A868DE"/>
    <w:rsid w:val="00A86A4D"/>
    <w:rsid w:val="00A91BFE"/>
    <w:rsid w:val="00AA0AD6"/>
    <w:rsid w:val="00AA17D8"/>
    <w:rsid w:val="00AB1FE4"/>
    <w:rsid w:val="00AB44F9"/>
    <w:rsid w:val="00AB4A73"/>
    <w:rsid w:val="00AC61F1"/>
    <w:rsid w:val="00AD0856"/>
    <w:rsid w:val="00AD307B"/>
    <w:rsid w:val="00AE1931"/>
    <w:rsid w:val="00AE7F97"/>
    <w:rsid w:val="00AF1B16"/>
    <w:rsid w:val="00AF3B9A"/>
    <w:rsid w:val="00AF6546"/>
    <w:rsid w:val="00B035C6"/>
    <w:rsid w:val="00B0450D"/>
    <w:rsid w:val="00B123E8"/>
    <w:rsid w:val="00B13536"/>
    <w:rsid w:val="00B174BB"/>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D0B98"/>
    <w:rsid w:val="00BD4EE5"/>
    <w:rsid w:val="00BD69F4"/>
    <w:rsid w:val="00BD7DB6"/>
    <w:rsid w:val="00BE4E10"/>
    <w:rsid w:val="00BE65FB"/>
    <w:rsid w:val="00BE7EF7"/>
    <w:rsid w:val="00BF16F4"/>
    <w:rsid w:val="00BF4990"/>
    <w:rsid w:val="00C04157"/>
    <w:rsid w:val="00C10548"/>
    <w:rsid w:val="00C12A31"/>
    <w:rsid w:val="00C14BF4"/>
    <w:rsid w:val="00C203AF"/>
    <w:rsid w:val="00C2175F"/>
    <w:rsid w:val="00C21FE1"/>
    <w:rsid w:val="00C22F62"/>
    <w:rsid w:val="00C2466E"/>
    <w:rsid w:val="00C25429"/>
    <w:rsid w:val="00C25DBC"/>
    <w:rsid w:val="00C37EA0"/>
    <w:rsid w:val="00C4021F"/>
    <w:rsid w:val="00C42CDA"/>
    <w:rsid w:val="00C44DD4"/>
    <w:rsid w:val="00C4636C"/>
    <w:rsid w:val="00C52064"/>
    <w:rsid w:val="00C542D6"/>
    <w:rsid w:val="00C553D6"/>
    <w:rsid w:val="00C604CF"/>
    <w:rsid w:val="00C66C6D"/>
    <w:rsid w:val="00C7449F"/>
    <w:rsid w:val="00C851CD"/>
    <w:rsid w:val="00C85E33"/>
    <w:rsid w:val="00C87035"/>
    <w:rsid w:val="00C90A75"/>
    <w:rsid w:val="00C92D5D"/>
    <w:rsid w:val="00C9597B"/>
    <w:rsid w:val="00CA3F6A"/>
    <w:rsid w:val="00CB4C2E"/>
    <w:rsid w:val="00CC19E4"/>
    <w:rsid w:val="00CC3C7B"/>
    <w:rsid w:val="00CC7AE5"/>
    <w:rsid w:val="00CD58EE"/>
    <w:rsid w:val="00CF3269"/>
    <w:rsid w:val="00CF3EB1"/>
    <w:rsid w:val="00CF60A8"/>
    <w:rsid w:val="00CF62F9"/>
    <w:rsid w:val="00D0037B"/>
    <w:rsid w:val="00D14F19"/>
    <w:rsid w:val="00D157AB"/>
    <w:rsid w:val="00D16E4A"/>
    <w:rsid w:val="00D21FC0"/>
    <w:rsid w:val="00D271DE"/>
    <w:rsid w:val="00D27D96"/>
    <w:rsid w:val="00D322B2"/>
    <w:rsid w:val="00D35142"/>
    <w:rsid w:val="00D37E3A"/>
    <w:rsid w:val="00D50054"/>
    <w:rsid w:val="00D51DA9"/>
    <w:rsid w:val="00D51F41"/>
    <w:rsid w:val="00D52D2D"/>
    <w:rsid w:val="00D53472"/>
    <w:rsid w:val="00D57E72"/>
    <w:rsid w:val="00D60514"/>
    <w:rsid w:val="00D61516"/>
    <w:rsid w:val="00D61BBF"/>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5F09"/>
    <w:rsid w:val="00DD68FE"/>
    <w:rsid w:val="00DE22AF"/>
    <w:rsid w:val="00DE3770"/>
    <w:rsid w:val="00DE57E9"/>
    <w:rsid w:val="00DE7DC3"/>
    <w:rsid w:val="00E0124D"/>
    <w:rsid w:val="00E0618C"/>
    <w:rsid w:val="00E11FC0"/>
    <w:rsid w:val="00E12175"/>
    <w:rsid w:val="00E22A93"/>
    <w:rsid w:val="00E2454C"/>
    <w:rsid w:val="00E253E7"/>
    <w:rsid w:val="00E25A10"/>
    <w:rsid w:val="00E3055B"/>
    <w:rsid w:val="00E353CD"/>
    <w:rsid w:val="00E529F4"/>
    <w:rsid w:val="00E5367E"/>
    <w:rsid w:val="00E55075"/>
    <w:rsid w:val="00E56ED5"/>
    <w:rsid w:val="00E642E6"/>
    <w:rsid w:val="00E70067"/>
    <w:rsid w:val="00E7137E"/>
    <w:rsid w:val="00E7354A"/>
    <w:rsid w:val="00E777C5"/>
    <w:rsid w:val="00E80BDC"/>
    <w:rsid w:val="00E82965"/>
    <w:rsid w:val="00E82BA1"/>
    <w:rsid w:val="00E86ADD"/>
    <w:rsid w:val="00E906ED"/>
    <w:rsid w:val="00E907C4"/>
    <w:rsid w:val="00E94186"/>
    <w:rsid w:val="00E95115"/>
    <w:rsid w:val="00EA1633"/>
    <w:rsid w:val="00EA7E42"/>
    <w:rsid w:val="00EB1E05"/>
    <w:rsid w:val="00EB639E"/>
    <w:rsid w:val="00EB6917"/>
    <w:rsid w:val="00EB7440"/>
    <w:rsid w:val="00EB7765"/>
    <w:rsid w:val="00EC1B29"/>
    <w:rsid w:val="00EC4948"/>
    <w:rsid w:val="00EC551A"/>
    <w:rsid w:val="00EC71FC"/>
    <w:rsid w:val="00EC7D86"/>
    <w:rsid w:val="00EE0FFA"/>
    <w:rsid w:val="00EE2968"/>
    <w:rsid w:val="00EE3595"/>
    <w:rsid w:val="00EE48C1"/>
    <w:rsid w:val="00EE5B9E"/>
    <w:rsid w:val="00F0782D"/>
    <w:rsid w:val="00F1680A"/>
    <w:rsid w:val="00F17B77"/>
    <w:rsid w:val="00F248B4"/>
    <w:rsid w:val="00F25E01"/>
    <w:rsid w:val="00F302B7"/>
    <w:rsid w:val="00F30E23"/>
    <w:rsid w:val="00F32776"/>
    <w:rsid w:val="00F331AD"/>
    <w:rsid w:val="00F40D5A"/>
    <w:rsid w:val="00F42564"/>
    <w:rsid w:val="00F47B20"/>
    <w:rsid w:val="00F52254"/>
    <w:rsid w:val="00F5262A"/>
    <w:rsid w:val="00F62E19"/>
    <w:rsid w:val="00F62F45"/>
    <w:rsid w:val="00F630D9"/>
    <w:rsid w:val="00F63E0E"/>
    <w:rsid w:val="00F6527C"/>
    <w:rsid w:val="00F65AFC"/>
    <w:rsid w:val="00F67730"/>
    <w:rsid w:val="00F73BA7"/>
    <w:rsid w:val="00F74591"/>
    <w:rsid w:val="00F77102"/>
    <w:rsid w:val="00F8538C"/>
    <w:rsid w:val="00F90802"/>
    <w:rsid w:val="00F90EBD"/>
    <w:rsid w:val="00F91294"/>
    <w:rsid w:val="00F93372"/>
    <w:rsid w:val="00F94EA7"/>
    <w:rsid w:val="00F94F4B"/>
    <w:rsid w:val="00FA4FE0"/>
    <w:rsid w:val="00FB49FE"/>
    <w:rsid w:val="00FB7867"/>
    <w:rsid w:val="00FC128C"/>
    <w:rsid w:val="00FC1ACC"/>
    <w:rsid w:val="00FC3DEC"/>
    <w:rsid w:val="00FD3A74"/>
    <w:rsid w:val="00FD63BF"/>
    <w:rsid w:val="00FE4931"/>
    <w:rsid w:val="00FE6CC8"/>
    <w:rsid w:val="00FE75C2"/>
    <w:rsid w:val="00FF002D"/>
    <w:rsid w:val="00FF0A27"/>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qFormat/>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qFormat/>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qFormat/>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qFormat/>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qFormat/>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qFormat/>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qFormat/>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60F2E-CC29-49ED-A544-56B456DA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2671</Words>
  <Characters>15759</Characters>
  <Application>Microsoft Office Word</Application>
  <DocSecurity>0</DocSecurity>
  <Lines>131</Lines>
  <Paragraphs>36</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Jiří Desenský</cp:lastModifiedBy>
  <cp:revision>2</cp:revision>
  <cp:lastPrinted>2018-07-09T12:27:00Z</cp:lastPrinted>
  <dcterms:created xsi:type="dcterms:W3CDTF">2021-01-15T11:14:00Z</dcterms:created>
  <dcterms:modified xsi:type="dcterms:W3CDTF">2021-01-15T11:14:00Z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