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1A" w:rsidRDefault="00572C1A" w:rsidP="00572C1A">
      <w:pPr>
        <w:rPr>
          <w:b/>
          <w:sz w:val="32"/>
          <w:szCs w:val="32"/>
        </w:rPr>
      </w:pPr>
    </w:p>
    <w:p w:rsidR="00572C1A" w:rsidRDefault="00572C1A" w:rsidP="00572C1A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12700</wp:posOffset>
            </wp:positionV>
            <wp:extent cx="1028700" cy="1123950"/>
            <wp:effectExtent l="19050" t="0" r="0" b="0"/>
            <wp:wrapNone/>
            <wp:docPr id="2" name="obrázek 2" descr="Bílý Podo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ílý Podol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                </w:t>
      </w:r>
      <w:r w:rsidRPr="001B3327">
        <w:rPr>
          <w:b/>
          <w:sz w:val="32"/>
          <w:szCs w:val="32"/>
        </w:rPr>
        <w:t>Městys Bílé Podolí</w:t>
      </w:r>
    </w:p>
    <w:p w:rsidR="00572C1A" w:rsidRPr="001B3327" w:rsidRDefault="00572C1A" w:rsidP="00572C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1B332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</w:t>
      </w:r>
      <w:r w:rsidR="0086409C">
        <w:rPr>
          <w:b/>
          <w:sz w:val="32"/>
          <w:szCs w:val="32"/>
        </w:rPr>
        <w:t xml:space="preserve"> Bílé Podolí 12</w:t>
      </w:r>
      <w:r w:rsidRPr="001B3327">
        <w:rPr>
          <w:b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A74C15">
        <w:rPr>
          <w:b/>
          <w:sz w:val="32"/>
          <w:szCs w:val="32"/>
        </w:rPr>
        <w:t>PSČ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285 72</w:t>
      </w:r>
    </w:p>
    <w:p w:rsidR="00572C1A" w:rsidRDefault="00572C1A" w:rsidP="00572C1A">
      <w:r w:rsidRPr="0005187F">
        <w:t xml:space="preserve">                 </w:t>
      </w:r>
      <w:r>
        <w:t xml:space="preserve">                 </w:t>
      </w:r>
      <w:r w:rsidRPr="0005187F">
        <w:t xml:space="preserve"> Tel/FAX  327 397</w:t>
      </w:r>
      <w:r>
        <w:t> </w:t>
      </w:r>
      <w:r w:rsidRPr="0005187F">
        <w:t>197</w:t>
      </w:r>
      <w:r>
        <w:t xml:space="preserve">      </w:t>
      </w:r>
      <w:r w:rsidRPr="0005187F">
        <w:t xml:space="preserve"> E-mail</w:t>
      </w:r>
      <w:r>
        <w:t xml:space="preserve"> </w:t>
      </w:r>
      <w:r w:rsidRPr="0005187F">
        <w:t xml:space="preserve">: </w:t>
      </w:r>
      <w:hyperlink r:id="rId8" w:history="1">
        <w:r w:rsidRPr="00A74C15">
          <w:rPr>
            <w:rStyle w:val="Hypertextovodkaz"/>
            <w:color w:val="auto"/>
            <w:u w:val="none"/>
          </w:rPr>
          <w:t>bilepodoli@mybox.cz</w:t>
        </w:r>
      </w:hyperlink>
      <w:r w:rsidRPr="00A74C15">
        <w:t xml:space="preserve">      </w:t>
      </w:r>
      <w:r>
        <w:t xml:space="preserve">      </w:t>
      </w:r>
      <w:r w:rsidRPr="0005187F">
        <w:t xml:space="preserve"> </w:t>
      </w:r>
    </w:p>
    <w:p w:rsidR="00572C1A" w:rsidRDefault="00572C1A" w:rsidP="00572C1A">
      <w:r>
        <w:t xml:space="preserve">                                   </w:t>
      </w:r>
      <w:r w:rsidRPr="0005187F">
        <w:t xml:space="preserve">IČO  00235997 </w:t>
      </w:r>
      <w:r>
        <w:t xml:space="preserve">                            </w:t>
      </w:r>
    </w:p>
    <w:p w:rsidR="00572C1A" w:rsidRDefault="00572C1A" w:rsidP="00572C1A"/>
    <w:p w:rsidR="00572C1A" w:rsidRDefault="00572C1A" w:rsidP="00572C1A"/>
    <w:p w:rsidR="00572C1A" w:rsidRDefault="00572C1A" w:rsidP="00572C1A">
      <w:r>
        <w:t xml:space="preserve">    ___________________________________________________________________________</w:t>
      </w:r>
    </w:p>
    <w:p w:rsidR="00572C1A" w:rsidRDefault="00B97C87" w:rsidP="00572C1A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  č.</w:t>
      </w:r>
      <w:proofErr w:type="gramEnd"/>
      <w:r>
        <w:rPr>
          <w:b/>
          <w:sz w:val="22"/>
          <w:szCs w:val="22"/>
        </w:rPr>
        <w:t xml:space="preserve"> 2</w:t>
      </w:r>
      <w:r w:rsidR="00572C1A">
        <w:rPr>
          <w:b/>
          <w:sz w:val="22"/>
          <w:szCs w:val="22"/>
        </w:rPr>
        <w:t>1/2015</w:t>
      </w:r>
    </w:p>
    <w:p w:rsidR="00572C1A" w:rsidRPr="00573D77" w:rsidRDefault="00572C1A" w:rsidP="00572C1A">
      <w:pPr>
        <w:jc w:val="center"/>
        <w:rPr>
          <w:b/>
          <w:sz w:val="28"/>
          <w:szCs w:val="28"/>
        </w:rPr>
      </w:pPr>
      <w:r w:rsidRPr="00573D77">
        <w:rPr>
          <w:b/>
          <w:sz w:val="28"/>
          <w:szCs w:val="28"/>
        </w:rPr>
        <w:t>SMĚRNICE PRO PO</w:t>
      </w:r>
      <w:r w:rsidR="008A3FF7" w:rsidRPr="00573D77">
        <w:rPr>
          <w:b/>
          <w:sz w:val="28"/>
          <w:szCs w:val="28"/>
        </w:rPr>
        <w:t xml:space="preserve">SKYTOVÁNÍ DOTACÍ Z ROZPOČTU MĚSTYSE </w:t>
      </w:r>
      <w:r w:rsidRPr="00573D77">
        <w:rPr>
          <w:b/>
          <w:sz w:val="28"/>
          <w:szCs w:val="28"/>
        </w:rPr>
        <w:t>BÍLÉ PODOLÍ</w:t>
      </w:r>
    </w:p>
    <w:p w:rsidR="00572C1A" w:rsidRPr="00573D77" w:rsidRDefault="00572C1A" w:rsidP="00572C1A">
      <w:pPr>
        <w:jc w:val="center"/>
        <w:rPr>
          <w:b/>
          <w:sz w:val="28"/>
          <w:szCs w:val="28"/>
        </w:rPr>
      </w:pPr>
    </w:p>
    <w:p w:rsidR="00572C1A" w:rsidRDefault="00572C1A" w:rsidP="00572C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Úvod</w:t>
      </w:r>
    </w:p>
    <w:p w:rsidR="00572C1A" w:rsidRDefault="00572C1A" w:rsidP="00572C1A">
      <w:pPr>
        <w:jc w:val="center"/>
        <w:rPr>
          <w:b/>
          <w:sz w:val="22"/>
          <w:szCs w:val="22"/>
        </w:rPr>
      </w:pPr>
    </w:p>
    <w:p w:rsidR="00572C1A" w:rsidRDefault="00572C1A" w:rsidP="00572C1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Bílé Podolí vydává tuto Směrnice pro poskytování dotací z rozpočtu obce Bílé Podolí (dále </w:t>
      </w:r>
      <w:r w:rsidR="00B97C87">
        <w:rPr>
          <w:sz w:val="22"/>
          <w:szCs w:val="22"/>
        </w:rPr>
        <w:t>jen směrnice).</w:t>
      </w:r>
    </w:p>
    <w:p w:rsidR="00572C1A" w:rsidRDefault="00572C1A" w:rsidP="00572C1A">
      <w:pPr>
        <w:jc w:val="both"/>
        <w:rPr>
          <w:sz w:val="22"/>
          <w:szCs w:val="22"/>
        </w:rPr>
      </w:pPr>
    </w:p>
    <w:p w:rsidR="00572C1A" w:rsidRDefault="00572C1A" w:rsidP="00572C1A">
      <w:pPr>
        <w:jc w:val="center"/>
        <w:rPr>
          <w:b/>
          <w:sz w:val="22"/>
          <w:szCs w:val="22"/>
        </w:rPr>
      </w:pPr>
      <w:r w:rsidRPr="00572C1A">
        <w:rPr>
          <w:b/>
          <w:sz w:val="22"/>
          <w:szCs w:val="22"/>
        </w:rPr>
        <w:t>2. Právní rámec</w:t>
      </w:r>
    </w:p>
    <w:p w:rsidR="00572C1A" w:rsidRDefault="00572C1A" w:rsidP="00572C1A">
      <w:pPr>
        <w:jc w:val="center"/>
        <w:rPr>
          <w:b/>
          <w:sz w:val="22"/>
          <w:szCs w:val="22"/>
        </w:rPr>
      </w:pPr>
    </w:p>
    <w:p w:rsidR="00572C1A" w:rsidRDefault="00572C1A" w:rsidP="00572C1A">
      <w:pPr>
        <w:jc w:val="both"/>
        <w:rPr>
          <w:sz w:val="22"/>
          <w:szCs w:val="22"/>
        </w:rPr>
      </w:pPr>
      <w:r>
        <w:rPr>
          <w:sz w:val="22"/>
          <w:szCs w:val="22"/>
        </w:rPr>
        <w:t>Obec Bílé Podolí se při poskytování dotací z rozpočtu obce řídí platnými obecně závaznými právními předpisy, zejména:</w:t>
      </w:r>
    </w:p>
    <w:p w:rsidR="00572C1A" w:rsidRDefault="00572C1A" w:rsidP="00572C1A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zákonem č. 128/2000 Sb., o obcích </w:t>
      </w:r>
      <w:r w:rsidR="006B0B8B">
        <w:rPr>
          <w:sz w:val="22"/>
          <w:szCs w:val="22"/>
        </w:rPr>
        <w:t>(obecní zřízení), ve znění pozdějších předpisů,</w:t>
      </w:r>
    </w:p>
    <w:p w:rsidR="006B0B8B" w:rsidRDefault="006B0B8B" w:rsidP="00572C1A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zákonem č. 250/2000</w:t>
      </w:r>
      <w:r w:rsidR="00A46A69">
        <w:rPr>
          <w:sz w:val="22"/>
          <w:szCs w:val="22"/>
        </w:rPr>
        <w:t xml:space="preserve"> </w:t>
      </w:r>
      <w:r>
        <w:rPr>
          <w:sz w:val="22"/>
          <w:szCs w:val="22"/>
        </w:rPr>
        <w:t>Sb., o rozpočtových pravidlech územních rozpočtů, ve znění pozdějších předpisů,</w:t>
      </w:r>
    </w:p>
    <w:p w:rsidR="006B0B8B" w:rsidRDefault="006B0B8B" w:rsidP="00572C1A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zákonem č. 320/2001 Sb., o finanční kontrole ve veřejné správě a o změně některých zákonů (zákon o finanční kontrole), ve znění pozdějších předpisů,</w:t>
      </w:r>
    </w:p>
    <w:p w:rsidR="006B0B8B" w:rsidRDefault="006B0B8B" w:rsidP="00572C1A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zákonem č. 89/2012 Sb., Občanský zákoník.</w:t>
      </w:r>
    </w:p>
    <w:p w:rsidR="006B0B8B" w:rsidRDefault="006B0B8B" w:rsidP="006B0B8B">
      <w:pPr>
        <w:jc w:val="center"/>
        <w:rPr>
          <w:sz w:val="22"/>
          <w:szCs w:val="22"/>
        </w:rPr>
      </w:pPr>
    </w:p>
    <w:p w:rsidR="006B0B8B" w:rsidRDefault="006B0B8B" w:rsidP="006B0B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Použití dotací</w:t>
      </w:r>
    </w:p>
    <w:p w:rsidR="006B0B8B" w:rsidRDefault="006B0B8B" w:rsidP="006B0B8B">
      <w:pPr>
        <w:jc w:val="center"/>
        <w:rPr>
          <w:b/>
          <w:sz w:val="22"/>
          <w:szCs w:val="22"/>
        </w:rPr>
      </w:pPr>
    </w:p>
    <w:p w:rsidR="006B0B8B" w:rsidRDefault="006B0B8B" w:rsidP="006B0B8B">
      <w:pPr>
        <w:jc w:val="both"/>
        <w:rPr>
          <w:sz w:val="22"/>
          <w:szCs w:val="22"/>
        </w:rPr>
      </w:pPr>
      <w:r>
        <w:rPr>
          <w:sz w:val="22"/>
          <w:szCs w:val="22"/>
        </w:rPr>
        <w:t>Obec Bílé Podolí poskytuje dotace pouze na základě individuální žádosti o dotaci na tyto potřeby žadatele:</w:t>
      </w:r>
    </w:p>
    <w:p w:rsidR="006B0B8B" w:rsidRDefault="006B0B8B" w:rsidP="006B0B8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dotace na činnost,</w:t>
      </w:r>
    </w:p>
    <w:p w:rsidR="006B0B8B" w:rsidRDefault="006B0B8B" w:rsidP="006B0B8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dotace na nákup a údržbu majetku ve vlastnictví žadatele,</w:t>
      </w:r>
    </w:p>
    <w:p w:rsidR="006B0B8B" w:rsidRDefault="006B0B8B" w:rsidP="006B0B8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dotace na podporu konkrétní aktivity.</w:t>
      </w:r>
    </w:p>
    <w:p w:rsidR="006B0B8B" w:rsidRDefault="006B0B8B" w:rsidP="006B0B8B">
      <w:pPr>
        <w:pStyle w:val="Odstavecseseznamem"/>
        <w:jc w:val="both"/>
        <w:rPr>
          <w:sz w:val="22"/>
          <w:szCs w:val="22"/>
        </w:rPr>
      </w:pPr>
    </w:p>
    <w:p w:rsidR="006B0B8B" w:rsidRDefault="006B0B8B" w:rsidP="006B0B8B">
      <w:pPr>
        <w:pStyle w:val="Odstavecseseznamem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Žadatelé o dotaci</w:t>
      </w:r>
    </w:p>
    <w:p w:rsidR="006B0B8B" w:rsidRDefault="006B0B8B" w:rsidP="006B0B8B">
      <w:pPr>
        <w:pStyle w:val="Odstavecseseznamem"/>
        <w:jc w:val="center"/>
        <w:rPr>
          <w:b/>
          <w:sz w:val="22"/>
          <w:szCs w:val="22"/>
        </w:rPr>
      </w:pPr>
    </w:p>
    <w:p w:rsidR="006B0B8B" w:rsidRDefault="005E63FA" w:rsidP="005E63F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Osoby se sídlem nebo působností na území obce Bílé Podolí, které provozují aktivity v oblasti vědy a vzdělávání, kultury, školství, požární ochrany, na podporu a ochranu mládeže, na ochranu zvířat a jejich zdraví, sociální, zdravotnické a ekologické, humanitární, charitativní, náboženské pro registrované církve a náboženské společnosti a tělovýchovy a sportu s právní subjektivitou</w:t>
      </w:r>
    </w:p>
    <w:p w:rsidR="005E63FA" w:rsidRDefault="003C4FB6" w:rsidP="005E63FA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E63FA">
        <w:rPr>
          <w:sz w:val="22"/>
          <w:szCs w:val="22"/>
        </w:rPr>
        <w:t>rávni</w:t>
      </w:r>
      <w:r>
        <w:rPr>
          <w:sz w:val="22"/>
          <w:szCs w:val="22"/>
        </w:rPr>
        <w:t>cká osoba, jejíž činnost je nekomerčního charakteru, zejména</w:t>
      </w:r>
    </w:p>
    <w:p w:rsidR="003C4FB6" w:rsidRDefault="00573D77" w:rsidP="003C4FB6">
      <w:pPr>
        <w:pStyle w:val="Odstavecseseznamem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C4FB6">
        <w:rPr>
          <w:sz w:val="22"/>
          <w:szCs w:val="22"/>
        </w:rPr>
        <w:t>neziskové zájmové organizace,</w:t>
      </w:r>
    </w:p>
    <w:p w:rsidR="003C4FB6" w:rsidRDefault="00573D77" w:rsidP="003C4FB6">
      <w:pPr>
        <w:pStyle w:val="Odstavecseseznamem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C4FB6">
        <w:rPr>
          <w:sz w:val="22"/>
          <w:szCs w:val="22"/>
        </w:rPr>
        <w:t>spolky,</w:t>
      </w:r>
    </w:p>
    <w:p w:rsidR="003C4FB6" w:rsidRDefault="00573D77" w:rsidP="003C4FB6">
      <w:pPr>
        <w:pStyle w:val="Odstavecseseznamem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C4FB6">
        <w:rPr>
          <w:sz w:val="22"/>
          <w:szCs w:val="22"/>
        </w:rPr>
        <w:t>obecně prospěšné společnosti,</w:t>
      </w:r>
    </w:p>
    <w:p w:rsidR="003C4FB6" w:rsidRDefault="00573D77" w:rsidP="003C4FB6">
      <w:pPr>
        <w:pStyle w:val="Odstavecseseznamem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C4FB6">
        <w:rPr>
          <w:sz w:val="22"/>
          <w:szCs w:val="22"/>
        </w:rPr>
        <w:t>nadace a nadační fondy,</w:t>
      </w:r>
    </w:p>
    <w:p w:rsidR="003C4FB6" w:rsidRDefault="00573D77" w:rsidP="003C4FB6">
      <w:pPr>
        <w:pStyle w:val="Odstavecseseznamem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C4FB6">
        <w:rPr>
          <w:sz w:val="22"/>
          <w:szCs w:val="22"/>
        </w:rPr>
        <w:t>registrované církve a náboženské společnosti,</w:t>
      </w:r>
    </w:p>
    <w:p w:rsidR="003C4FB6" w:rsidRPr="00351E91" w:rsidRDefault="003C4FB6" w:rsidP="00351E9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fyzická osoba, starší 18 let, jejíž aktivita je nekomerčního a nevýdělečného charakteru.</w:t>
      </w:r>
    </w:p>
    <w:p w:rsidR="003C4FB6" w:rsidRDefault="003C4FB6" w:rsidP="003C4FB6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Dotaci nelze poskytnout</w:t>
      </w:r>
    </w:p>
    <w:p w:rsidR="003C4FB6" w:rsidRDefault="003C4FB6" w:rsidP="003C4FB6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právnické osobě, která je obchodní společností nebo družstvem zřízeným dle zákona č. 90/2012 Sb., o obchodních společnostech</w:t>
      </w:r>
      <w:r w:rsidR="00530486">
        <w:rPr>
          <w:sz w:val="22"/>
          <w:szCs w:val="22"/>
        </w:rPr>
        <w:t xml:space="preserve"> a družstvech (zákon o obchodních korporacích),</w:t>
      </w:r>
    </w:p>
    <w:p w:rsidR="00530486" w:rsidRDefault="00530486" w:rsidP="003C4FB6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fyzické osobě – podnikateli, pokud předmětem podnikání je podnikání mimo podnikání v oblasti vědy a vzdělávání, kultury, školství, požární ochrany, podpory </w:t>
      </w:r>
      <w:r w:rsidR="00D14C5E">
        <w:rPr>
          <w:sz w:val="22"/>
          <w:szCs w:val="22"/>
        </w:rPr>
        <w:br/>
      </w:r>
      <w:r>
        <w:rPr>
          <w:sz w:val="22"/>
          <w:szCs w:val="22"/>
        </w:rPr>
        <w:t xml:space="preserve">a ochrany mládeže, ochrany zvířat a jejich zdraví, sociální, zdravotnické a ekologické, humanitární, charitativní a tělovýchovy a sportu, </w:t>
      </w:r>
    </w:p>
    <w:p w:rsidR="00530486" w:rsidRDefault="00530486" w:rsidP="003C4FB6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žadateli, který nedoložil včas a správně závěrečné vyúčtování již poskytnutých finančních prostředků,</w:t>
      </w:r>
    </w:p>
    <w:p w:rsidR="00530486" w:rsidRDefault="00530486" w:rsidP="003C4FB6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žadatel, který nemá ke dni podání žádosti o příspěvek vyrovnány veškeré finanční závazky vůči obci Bílé Podolí a organizacím zřízeným nebo založeným obcí.</w:t>
      </w:r>
    </w:p>
    <w:p w:rsidR="002D3C5C" w:rsidRDefault="002D3C5C" w:rsidP="002D3C5C">
      <w:pPr>
        <w:jc w:val="center"/>
        <w:rPr>
          <w:sz w:val="22"/>
          <w:szCs w:val="22"/>
        </w:rPr>
      </w:pPr>
    </w:p>
    <w:p w:rsidR="002D3C5C" w:rsidRDefault="002D3C5C" w:rsidP="002D3C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Výdaje žadatelů</w:t>
      </w:r>
    </w:p>
    <w:p w:rsidR="002D3C5C" w:rsidRDefault="002D3C5C" w:rsidP="002D3C5C">
      <w:pPr>
        <w:jc w:val="both"/>
        <w:rPr>
          <w:sz w:val="22"/>
          <w:szCs w:val="22"/>
        </w:rPr>
      </w:pPr>
    </w:p>
    <w:p w:rsidR="002D3C5C" w:rsidRDefault="002D3C5C" w:rsidP="002D3C5C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Uznatelné výdaje jsou zejména</w:t>
      </w:r>
    </w:p>
    <w:p w:rsidR="002D3C5C" w:rsidRDefault="00F64749" w:rsidP="002D3C5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provozní výdaje (nájemné, energie, služby, apod.),</w:t>
      </w:r>
    </w:p>
    <w:p w:rsidR="00F64749" w:rsidRDefault="00F64749" w:rsidP="002D3C5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materiálně technické zabezpečení činnosti (sportovní vybavení, výstroj, výzbroj, kostýmy, apod.,</w:t>
      </w:r>
    </w:p>
    <w:p w:rsidR="00F64749" w:rsidRDefault="00F64749" w:rsidP="002D3C5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cestovní výdaje a doprava,</w:t>
      </w:r>
    </w:p>
    <w:p w:rsidR="00F64749" w:rsidRDefault="00F64749" w:rsidP="002D3C5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poplatky za vzdělávání (semináře, školení, apod.),</w:t>
      </w:r>
    </w:p>
    <w:p w:rsidR="00F64749" w:rsidRDefault="00F64749" w:rsidP="002D3C5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výdaje spojené s účastí na soutěžích a soustředěních (ubytování, startovné, stravné, apod.),</w:t>
      </w:r>
    </w:p>
    <w:p w:rsidR="00F64749" w:rsidRDefault="00F64749" w:rsidP="002D3C5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tisk metodických a propagačních materiálů nekomerčního charakteru, </w:t>
      </w:r>
    </w:p>
    <w:p w:rsidR="00F64749" w:rsidRDefault="00F64749" w:rsidP="002D3C5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úrazové pojištění a pojištění za škodu.</w:t>
      </w:r>
    </w:p>
    <w:p w:rsidR="00F64749" w:rsidRDefault="00F64749" w:rsidP="00F64749">
      <w:pPr>
        <w:pStyle w:val="Odstavecseseznamem"/>
        <w:ind w:left="1440"/>
        <w:jc w:val="both"/>
        <w:rPr>
          <w:sz w:val="22"/>
          <w:szCs w:val="22"/>
        </w:rPr>
      </w:pPr>
    </w:p>
    <w:p w:rsidR="00F64749" w:rsidRDefault="00F64749" w:rsidP="00F64749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Neuznatelnými náklady jsou:</w:t>
      </w:r>
    </w:p>
    <w:p w:rsidR="00F64749" w:rsidRDefault="004C08A0" w:rsidP="00F64749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F64749">
        <w:rPr>
          <w:sz w:val="22"/>
          <w:szCs w:val="22"/>
        </w:rPr>
        <w:t>zdy, dohody mimo pracovní poměr, finanční odměny zaměstnancům a další náklady spojené se zaměstnáváním dle zákona č. 262/2006 Sb., zákoník práce, ve znění pozdějších předpisů</w:t>
      </w:r>
      <w:r>
        <w:rPr>
          <w:sz w:val="22"/>
          <w:szCs w:val="22"/>
        </w:rPr>
        <w:t>,</w:t>
      </w:r>
    </w:p>
    <w:p w:rsidR="004C08A0" w:rsidRDefault="004C08A0" w:rsidP="00F64749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pokuty, penále, daně,</w:t>
      </w:r>
    </w:p>
    <w:p w:rsidR="004C08A0" w:rsidRDefault="004C08A0" w:rsidP="00F64749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pohoštění.</w:t>
      </w:r>
    </w:p>
    <w:p w:rsidR="004C08A0" w:rsidRDefault="004C08A0" w:rsidP="004C08A0">
      <w:pPr>
        <w:pStyle w:val="Odstavecseseznamem"/>
        <w:ind w:left="1440"/>
        <w:jc w:val="both"/>
        <w:rPr>
          <w:sz w:val="22"/>
          <w:szCs w:val="22"/>
        </w:rPr>
      </w:pPr>
    </w:p>
    <w:p w:rsidR="004C08A0" w:rsidRDefault="004C08A0" w:rsidP="004C08A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DPH je uznatelným výdajem, pokud konečný příjemce:</w:t>
      </w:r>
    </w:p>
    <w:p w:rsidR="004C08A0" w:rsidRDefault="004C08A0" w:rsidP="004C08A0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není plátcem DPH, a proto nemůže nárokovat a nenárokuje odpočet daně na vstupu dle zákona o dani z přidané hodnoty č. 235/2004 Sb., </w:t>
      </w:r>
    </w:p>
    <w:p w:rsidR="004C08A0" w:rsidRDefault="004C08A0" w:rsidP="004C08A0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 plátcem DPH, ale dle zákona o dani z přidané hodnoty č. 235/2004 Sb., nemá možnost nárokovat odpočet daně na vstupu.</w:t>
      </w:r>
    </w:p>
    <w:p w:rsidR="004C08A0" w:rsidRDefault="004C08A0" w:rsidP="004C08A0">
      <w:pPr>
        <w:pStyle w:val="Odstavecseseznamem"/>
        <w:ind w:left="1440"/>
        <w:jc w:val="both"/>
        <w:rPr>
          <w:sz w:val="22"/>
          <w:szCs w:val="22"/>
        </w:rPr>
      </w:pPr>
    </w:p>
    <w:p w:rsidR="004C08A0" w:rsidRDefault="004C08A0" w:rsidP="004C08A0">
      <w:pPr>
        <w:pStyle w:val="Odstavecseseznamem"/>
        <w:ind w:left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Podávání žádosti a vyúčtování</w:t>
      </w:r>
    </w:p>
    <w:p w:rsidR="004C08A0" w:rsidRDefault="004C08A0" w:rsidP="004C08A0">
      <w:pPr>
        <w:pStyle w:val="Odstavecseseznamem"/>
        <w:ind w:left="1440"/>
        <w:jc w:val="both"/>
        <w:rPr>
          <w:sz w:val="22"/>
          <w:szCs w:val="22"/>
        </w:rPr>
      </w:pPr>
    </w:p>
    <w:p w:rsidR="004C08A0" w:rsidRDefault="004C08A0" w:rsidP="004C08A0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Žádost o dotaci se podává písemně na závazném formuláři do 31. ledna rozpočtového roku. Vzor žádosti je přílohou této směrnice (příloha č. 1).</w:t>
      </w:r>
      <w:r w:rsidR="00A67B0E">
        <w:rPr>
          <w:sz w:val="22"/>
          <w:szCs w:val="22"/>
        </w:rPr>
        <w:t xml:space="preserve"> Žádost se doručí na adresu městys</w:t>
      </w:r>
      <w:r>
        <w:rPr>
          <w:sz w:val="22"/>
          <w:szCs w:val="22"/>
        </w:rPr>
        <w:t xml:space="preserve"> Bílé Podolí</w:t>
      </w:r>
      <w:r w:rsidR="00A67B0E">
        <w:rPr>
          <w:sz w:val="22"/>
          <w:szCs w:val="22"/>
        </w:rPr>
        <w:t>, Bílé Podolí 12, 285 72, osobně na podatelnu obecního úřadu. V případě formálních nedostatků mohou být žádosti doplněny na základě výzvy.</w:t>
      </w:r>
    </w:p>
    <w:p w:rsidR="00A67B0E" w:rsidRDefault="00A67B0E" w:rsidP="004C08A0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31. ledna následujícího roku, musí příjemce dotace předložit obci vyúčtování, jak byl příspěvek použit. U jednorázové dotace na konkrétní aktivitu je třeba podat finanční vyúčtování do 30 dnů po ukončení aktivity. Formulář pro vyúčtování dotace je nedílnou součástí této směrnice (příloha č. 2).</w:t>
      </w:r>
    </w:p>
    <w:p w:rsidR="00A67B0E" w:rsidRDefault="00A67B0E" w:rsidP="00A67B0E">
      <w:pPr>
        <w:pStyle w:val="Odstavecseseznamem"/>
        <w:jc w:val="both"/>
        <w:rPr>
          <w:sz w:val="22"/>
          <w:szCs w:val="22"/>
        </w:rPr>
      </w:pPr>
    </w:p>
    <w:p w:rsidR="00A67B0E" w:rsidRDefault="00A67B0E" w:rsidP="00A67B0E">
      <w:pPr>
        <w:pStyle w:val="Odstavecseseznamem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Rozhodování o přidělení, kontrola</w:t>
      </w:r>
    </w:p>
    <w:p w:rsidR="00A67B0E" w:rsidRDefault="00A67B0E" w:rsidP="00A67B0E">
      <w:pPr>
        <w:pStyle w:val="Odstavecseseznamem"/>
        <w:jc w:val="center"/>
        <w:rPr>
          <w:b/>
          <w:sz w:val="22"/>
          <w:szCs w:val="22"/>
        </w:rPr>
      </w:pPr>
    </w:p>
    <w:p w:rsidR="00A67B0E" w:rsidRPr="00A67B0E" w:rsidRDefault="00A67B0E" w:rsidP="00A67B0E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poskytnutí dotace nad 50 000 Kč jednotlivým žadatelům a jejich výši rozhoduje zastupitelstvo obce, na základě doporučení finančního výboru. </w:t>
      </w:r>
    </w:p>
    <w:p w:rsidR="003C4FB6" w:rsidRDefault="003C4FB6" w:rsidP="003C4FB6">
      <w:pPr>
        <w:pStyle w:val="Odstavecseseznamem"/>
        <w:jc w:val="both"/>
        <w:rPr>
          <w:sz w:val="22"/>
          <w:szCs w:val="22"/>
        </w:rPr>
      </w:pPr>
    </w:p>
    <w:p w:rsidR="00A67B0E" w:rsidRDefault="00A67B0E" w:rsidP="00A67B0E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 poskytnutí dotace do 50 000 Kč jednotlivým žadatelům a jejich výši rozhoduje starosta obce.</w:t>
      </w:r>
    </w:p>
    <w:p w:rsidR="00A67B0E" w:rsidRDefault="00C151E7" w:rsidP="00A67B0E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Výsledky přidělení budou zveřejněny na úřední desce a na webových stránkách obce Bílé Podolí. V případě přidělení budou žadatelé vyzváni k podpisu smlouvy o poskytnutí dotace (příloha č. 4). Na základě uzavřené smlouvy bude vyplacena dotace</w:t>
      </w:r>
    </w:p>
    <w:p w:rsidR="00C151E7" w:rsidRDefault="00C151E7" w:rsidP="00C151E7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jednorázově v celoroční výši a to zásadně bezhotovostně na bankovní účet žadatele,</w:t>
      </w:r>
    </w:p>
    <w:p w:rsidR="00C151E7" w:rsidRDefault="00C151E7" w:rsidP="00C151E7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nebo zálohově v hotovosti nebo na bankovní účet žadatele.</w:t>
      </w:r>
    </w:p>
    <w:p w:rsidR="00C151E7" w:rsidRDefault="00C151E7" w:rsidP="00C151E7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Smlouvy o poskytnutí dotace včetně dodatků na částku vyšší než 50 000 Kč budou uveřejněny na úřední desce způsobem umožňující dálkový přístup do 30 dnů ode dne uza</w:t>
      </w:r>
      <w:r w:rsidR="000F3FCE">
        <w:rPr>
          <w:sz w:val="22"/>
          <w:szCs w:val="22"/>
        </w:rPr>
        <w:t>vření</w:t>
      </w:r>
      <w:r w:rsidR="00C924EC">
        <w:rPr>
          <w:sz w:val="22"/>
          <w:szCs w:val="22"/>
        </w:rPr>
        <w:t xml:space="preserve"> nejméně po dobu 3 let ode dne zveřejnění.</w:t>
      </w:r>
    </w:p>
    <w:p w:rsidR="00C924EC" w:rsidRDefault="00C924EC" w:rsidP="00C151E7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Kontrolu vyúčtování a použití dotace provede finanční výbor, </w:t>
      </w:r>
      <w:r w:rsidR="00486C00">
        <w:rPr>
          <w:sz w:val="22"/>
          <w:szCs w:val="22"/>
        </w:rPr>
        <w:t xml:space="preserve">a </w:t>
      </w:r>
      <w:r>
        <w:rPr>
          <w:sz w:val="22"/>
          <w:szCs w:val="22"/>
        </w:rPr>
        <w:t>o výsledku informuje zastupitelstvo obce na nejbližším zasedání.</w:t>
      </w:r>
    </w:p>
    <w:p w:rsidR="00C924EC" w:rsidRDefault="00C924EC" w:rsidP="00C151E7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Příspěvek, který nebyl použit v souladu s těmito pravidly nebo podmínkami uvedenými ve smlouvě o poskytnutí dotace, je příjemce povinen vrátit neprodleně na účet obce dle podmínek uvedených ve smlouvě. </w:t>
      </w:r>
    </w:p>
    <w:p w:rsidR="00C924EC" w:rsidRDefault="00C924EC" w:rsidP="00C924EC">
      <w:pPr>
        <w:ind w:left="360"/>
        <w:jc w:val="both"/>
        <w:rPr>
          <w:sz w:val="22"/>
          <w:szCs w:val="22"/>
        </w:rPr>
      </w:pPr>
    </w:p>
    <w:p w:rsidR="00C924EC" w:rsidRDefault="00C924EC" w:rsidP="00C924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Závěrečná ustanovení</w:t>
      </w:r>
    </w:p>
    <w:p w:rsidR="005146B9" w:rsidRDefault="005146B9" w:rsidP="00C924EC">
      <w:pPr>
        <w:ind w:left="360"/>
        <w:jc w:val="center"/>
        <w:rPr>
          <w:b/>
          <w:sz w:val="22"/>
          <w:szCs w:val="22"/>
        </w:rPr>
      </w:pPr>
    </w:p>
    <w:p w:rsidR="00C924EC" w:rsidRDefault="005146B9" w:rsidP="005146B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poskytnutí dotace není právní nárok.</w:t>
      </w:r>
    </w:p>
    <w:p w:rsidR="005146B9" w:rsidRDefault="005146B9" w:rsidP="005146B9">
      <w:pPr>
        <w:jc w:val="both"/>
        <w:rPr>
          <w:sz w:val="22"/>
          <w:szCs w:val="22"/>
        </w:rPr>
      </w:pPr>
    </w:p>
    <w:p w:rsidR="005146B9" w:rsidRDefault="005146B9" w:rsidP="005146B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Použití dotace podléhá nejen kontrole poskytovatelem určenými osobami, ale i dalším kontrolám podle platných obecně závazných předpisů.</w:t>
      </w:r>
    </w:p>
    <w:p w:rsidR="005146B9" w:rsidRDefault="005146B9" w:rsidP="005146B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Směrnice vzory žádostí a smluv o poskytnutí dotace včetně výsledků rozdělení dotací budou zveřejněny a trvale přístupny na internetových stránkách obce Bílé Podolí.</w:t>
      </w:r>
    </w:p>
    <w:p w:rsidR="004814A3" w:rsidRDefault="004814A3" w:rsidP="005146B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směrnice nabývá platnosti dnem schválení zastupitelstvem obce Bílé Podolí, tj. dnem </w:t>
      </w:r>
      <w:proofErr w:type="gramStart"/>
      <w:r w:rsidR="00B97C87">
        <w:rPr>
          <w:sz w:val="22"/>
          <w:szCs w:val="22"/>
        </w:rPr>
        <w:t>8.10.2015</w:t>
      </w:r>
      <w:proofErr w:type="gramEnd"/>
      <w:r w:rsidR="00B97C87">
        <w:rPr>
          <w:sz w:val="22"/>
          <w:szCs w:val="22"/>
        </w:rPr>
        <w:t xml:space="preserve"> a účinnosti dnem 1. 11. 2015</w:t>
      </w:r>
    </w:p>
    <w:p w:rsidR="004814A3" w:rsidRDefault="004814A3" w:rsidP="004814A3">
      <w:pPr>
        <w:jc w:val="both"/>
        <w:rPr>
          <w:sz w:val="22"/>
          <w:szCs w:val="22"/>
        </w:rPr>
      </w:pPr>
    </w:p>
    <w:p w:rsidR="00B718E0" w:rsidRDefault="00B718E0" w:rsidP="004814A3">
      <w:pPr>
        <w:jc w:val="both"/>
        <w:rPr>
          <w:sz w:val="22"/>
          <w:szCs w:val="22"/>
        </w:rPr>
      </w:pPr>
    </w:p>
    <w:p w:rsidR="004814A3" w:rsidRDefault="004814A3" w:rsidP="004814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Přílohy</w:t>
      </w:r>
    </w:p>
    <w:p w:rsidR="004814A3" w:rsidRDefault="004814A3" w:rsidP="004814A3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č. 1 – Žádost o poskytnutí dotace</w:t>
      </w:r>
    </w:p>
    <w:p w:rsidR="004814A3" w:rsidRDefault="004814A3" w:rsidP="004814A3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č. 2 – Finanční vyúčtování obce</w:t>
      </w:r>
    </w:p>
    <w:p w:rsidR="004814A3" w:rsidRDefault="004814A3" w:rsidP="004814A3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č. 3 – Pravidla pro vyúčtování poskytnuté dotace</w:t>
      </w:r>
    </w:p>
    <w:p w:rsidR="004814A3" w:rsidRDefault="004814A3" w:rsidP="004814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4 – Smlouva o poskytnutí dotace </w:t>
      </w:r>
      <w:r w:rsidR="008A0848">
        <w:rPr>
          <w:sz w:val="22"/>
          <w:szCs w:val="22"/>
        </w:rPr>
        <w:t>–</w:t>
      </w:r>
      <w:r>
        <w:rPr>
          <w:sz w:val="22"/>
          <w:szCs w:val="22"/>
        </w:rPr>
        <w:t xml:space="preserve"> návrh</w:t>
      </w: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4814A3">
      <w:pPr>
        <w:jc w:val="both"/>
        <w:rPr>
          <w:sz w:val="22"/>
          <w:szCs w:val="22"/>
        </w:rPr>
      </w:pPr>
    </w:p>
    <w:p w:rsidR="008A0848" w:rsidRDefault="008A0848" w:rsidP="008A0848">
      <w:pPr>
        <w:tabs>
          <w:tab w:val="left" w:pos="6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  <w:t>…………………………….</w:t>
      </w:r>
    </w:p>
    <w:p w:rsidR="008A0848" w:rsidRDefault="008A0848" w:rsidP="008A0848">
      <w:pPr>
        <w:tabs>
          <w:tab w:val="left" w:pos="6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Libor Vraný</w:t>
      </w:r>
      <w:r>
        <w:rPr>
          <w:sz w:val="22"/>
          <w:szCs w:val="22"/>
        </w:rPr>
        <w:tab/>
        <w:t xml:space="preserve">            Jiří </w:t>
      </w:r>
      <w:proofErr w:type="spellStart"/>
      <w:r>
        <w:rPr>
          <w:sz w:val="22"/>
          <w:szCs w:val="22"/>
        </w:rPr>
        <w:t>Desenský</w:t>
      </w:r>
      <w:proofErr w:type="spellEnd"/>
      <w:r>
        <w:rPr>
          <w:sz w:val="22"/>
          <w:szCs w:val="22"/>
        </w:rPr>
        <w:t xml:space="preserve"> </w:t>
      </w:r>
    </w:p>
    <w:p w:rsidR="008A0848" w:rsidRPr="004814A3" w:rsidRDefault="008A0848" w:rsidP="008A0848">
      <w:pPr>
        <w:tabs>
          <w:tab w:val="left" w:pos="71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místostarosta obce</w:t>
      </w:r>
      <w:r>
        <w:rPr>
          <w:sz w:val="22"/>
          <w:szCs w:val="22"/>
        </w:rPr>
        <w:tab/>
        <w:t xml:space="preserve"> starosta obce</w:t>
      </w:r>
    </w:p>
    <w:p w:rsidR="003C4FB6" w:rsidRPr="005E63FA" w:rsidRDefault="003C4FB6" w:rsidP="003C4FB6">
      <w:pPr>
        <w:pStyle w:val="Odstavecseseznamem"/>
        <w:jc w:val="both"/>
        <w:rPr>
          <w:sz w:val="22"/>
          <w:szCs w:val="22"/>
        </w:rPr>
      </w:pPr>
    </w:p>
    <w:p w:rsidR="00572C1A" w:rsidRPr="00572C1A" w:rsidRDefault="00572C1A" w:rsidP="00572C1A">
      <w:pPr>
        <w:rPr>
          <w:b/>
        </w:rPr>
      </w:pPr>
      <w:r w:rsidRPr="00572C1A">
        <w:rPr>
          <w:b/>
        </w:rPr>
        <w:t xml:space="preserve">     </w:t>
      </w:r>
    </w:p>
    <w:p w:rsidR="00572C1A" w:rsidRDefault="00572C1A" w:rsidP="00572C1A"/>
    <w:p w:rsidR="00572C1A" w:rsidRDefault="00572C1A" w:rsidP="00572C1A"/>
    <w:p w:rsidR="00572C1A" w:rsidRDefault="00572C1A" w:rsidP="00572C1A">
      <w:r>
        <w:t xml:space="preserve"> </w:t>
      </w:r>
    </w:p>
    <w:p w:rsidR="00572C1A" w:rsidRDefault="00572C1A" w:rsidP="00572C1A">
      <w:r>
        <w:t xml:space="preserve">                                                                                                        </w:t>
      </w:r>
    </w:p>
    <w:p w:rsidR="00572C1A" w:rsidRDefault="00572C1A" w:rsidP="00572C1A">
      <w:r>
        <w:t xml:space="preserve">                                                                                       </w:t>
      </w:r>
    </w:p>
    <w:p w:rsidR="009E40A9" w:rsidRDefault="00572C1A">
      <w:r>
        <w:t xml:space="preserve">   </w:t>
      </w:r>
    </w:p>
    <w:sectPr w:rsidR="009E40A9" w:rsidSect="009E40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51" w:rsidRDefault="004D1851" w:rsidP="0086409C">
      <w:r>
        <w:separator/>
      </w:r>
    </w:p>
  </w:endnote>
  <w:endnote w:type="continuationSeparator" w:id="0">
    <w:p w:rsidR="004D1851" w:rsidRDefault="004D1851" w:rsidP="00864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8847"/>
      <w:docPartObj>
        <w:docPartGallery w:val="Page Numbers (Bottom of Page)"/>
        <w:docPartUnique/>
      </w:docPartObj>
    </w:sdtPr>
    <w:sdtContent>
      <w:p w:rsidR="0086409C" w:rsidRDefault="00260F67">
        <w:pPr>
          <w:pStyle w:val="Zpat"/>
          <w:jc w:val="center"/>
        </w:pPr>
        <w:fldSimple w:instr=" PAGE   \* MERGEFORMAT ">
          <w:r w:rsidR="00B97C87">
            <w:rPr>
              <w:noProof/>
            </w:rPr>
            <w:t>3</w:t>
          </w:r>
        </w:fldSimple>
      </w:p>
    </w:sdtContent>
  </w:sdt>
  <w:p w:rsidR="0086409C" w:rsidRDefault="0086409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51" w:rsidRDefault="004D1851" w:rsidP="0086409C">
      <w:r>
        <w:separator/>
      </w:r>
    </w:p>
  </w:footnote>
  <w:footnote w:type="continuationSeparator" w:id="0">
    <w:p w:rsidR="004D1851" w:rsidRDefault="004D1851" w:rsidP="00864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5B0"/>
    <w:multiLevelType w:val="hybridMultilevel"/>
    <w:tmpl w:val="645EDA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49285F"/>
    <w:multiLevelType w:val="hybridMultilevel"/>
    <w:tmpl w:val="211EE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C41C4"/>
    <w:multiLevelType w:val="hybridMultilevel"/>
    <w:tmpl w:val="8E2A6A7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F83E99"/>
    <w:multiLevelType w:val="hybridMultilevel"/>
    <w:tmpl w:val="52305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F7084"/>
    <w:multiLevelType w:val="hybridMultilevel"/>
    <w:tmpl w:val="22DCB5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0F057D"/>
    <w:multiLevelType w:val="hybridMultilevel"/>
    <w:tmpl w:val="287C9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C3C86"/>
    <w:multiLevelType w:val="hybridMultilevel"/>
    <w:tmpl w:val="34EE14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675BF3"/>
    <w:multiLevelType w:val="hybridMultilevel"/>
    <w:tmpl w:val="83946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761"/>
    <w:multiLevelType w:val="hybridMultilevel"/>
    <w:tmpl w:val="3F32CB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0E7305"/>
    <w:multiLevelType w:val="hybridMultilevel"/>
    <w:tmpl w:val="22DCB5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983C0C"/>
    <w:multiLevelType w:val="hybridMultilevel"/>
    <w:tmpl w:val="AD48234E"/>
    <w:lvl w:ilvl="0" w:tplc="C40A3B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358FE"/>
    <w:multiLevelType w:val="hybridMultilevel"/>
    <w:tmpl w:val="C09258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77725C"/>
    <w:multiLevelType w:val="hybridMultilevel"/>
    <w:tmpl w:val="2A2427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558E2"/>
    <w:multiLevelType w:val="hybridMultilevel"/>
    <w:tmpl w:val="05EEB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D0DA8"/>
    <w:multiLevelType w:val="hybridMultilevel"/>
    <w:tmpl w:val="39E20E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FA7691"/>
    <w:multiLevelType w:val="hybridMultilevel"/>
    <w:tmpl w:val="211EE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15"/>
  </w:num>
  <w:num w:numId="8">
    <w:abstractNumId w:val="2"/>
  </w:num>
  <w:num w:numId="9">
    <w:abstractNumId w:val="11"/>
  </w:num>
  <w:num w:numId="10">
    <w:abstractNumId w:val="14"/>
  </w:num>
  <w:num w:numId="11">
    <w:abstractNumId w:val="1"/>
  </w:num>
  <w:num w:numId="12">
    <w:abstractNumId w:val="6"/>
  </w:num>
  <w:num w:numId="13">
    <w:abstractNumId w:val="5"/>
  </w:num>
  <w:num w:numId="14">
    <w:abstractNumId w:val="8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C1A"/>
    <w:rsid w:val="00013FA0"/>
    <w:rsid w:val="00046688"/>
    <w:rsid w:val="000F3FCE"/>
    <w:rsid w:val="00243F71"/>
    <w:rsid w:val="00260F67"/>
    <w:rsid w:val="002734C3"/>
    <w:rsid w:val="002D3C5C"/>
    <w:rsid w:val="00351E91"/>
    <w:rsid w:val="003C4FB6"/>
    <w:rsid w:val="004814A3"/>
    <w:rsid w:val="00486C00"/>
    <w:rsid w:val="004C08A0"/>
    <w:rsid w:val="004D1851"/>
    <w:rsid w:val="005146B9"/>
    <w:rsid w:val="00522379"/>
    <w:rsid w:val="00530486"/>
    <w:rsid w:val="00572C1A"/>
    <w:rsid w:val="00573D77"/>
    <w:rsid w:val="005E3164"/>
    <w:rsid w:val="005E63FA"/>
    <w:rsid w:val="00601909"/>
    <w:rsid w:val="00654BB5"/>
    <w:rsid w:val="006B0B8B"/>
    <w:rsid w:val="0086409C"/>
    <w:rsid w:val="008A0848"/>
    <w:rsid w:val="008A3FF7"/>
    <w:rsid w:val="008B1379"/>
    <w:rsid w:val="009E40A9"/>
    <w:rsid w:val="00A42F74"/>
    <w:rsid w:val="00A46A69"/>
    <w:rsid w:val="00A67B0E"/>
    <w:rsid w:val="00B718E0"/>
    <w:rsid w:val="00B97C87"/>
    <w:rsid w:val="00C151E7"/>
    <w:rsid w:val="00C924EC"/>
    <w:rsid w:val="00CC72AD"/>
    <w:rsid w:val="00D14C5E"/>
    <w:rsid w:val="00DF141F"/>
    <w:rsid w:val="00F6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2C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72C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64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40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4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09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epodoli@mybox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976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18</cp:revision>
  <dcterms:created xsi:type="dcterms:W3CDTF">2015-09-18T08:22:00Z</dcterms:created>
  <dcterms:modified xsi:type="dcterms:W3CDTF">2015-10-16T03:53:00Z</dcterms:modified>
</cp:coreProperties>
</file>